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1B" w:rsidRDefault="00FD161B" w:rsidP="00FD161B">
      <w:pPr>
        <w:pStyle w:val="NormalWeb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Cheshire and Mersey Health Libraries Group </w:t>
      </w:r>
    </w:p>
    <w:p w:rsidR="00FD161B" w:rsidRDefault="00FD161B" w:rsidP="00FD161B">
      <w:pPr>
        <w:pStyle w:val="NormalWeb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meeting held on July 22</w:t>
      </w:r>
      <w:r w:rsidRPr="00FD161B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Harold Cohen Library </w:t>
      </w:r>
    </w:p>
    <w:p w:rsidR="00FD161B" w:rsidRDefault="00FD161B" w:rsidP="00FD161B">
      <w:pPr>
        <w:pStyle w:val="NormalWeb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1462"/>
      </w:tblGrid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FD161B" w:rsidRPr="00F3662B" w:rsidRDefault="00FD161B" w:rsidP="00FD161B">
            <w:pPr>
              <w:pStyle w:val="NormalWeb"/>
              <w:rPr>
                <w:sz w:val="24"/>
                <w:szCs w:val="24"/>
              </w:rPr>
            </w:pPr>
            <w:r w:rsidRPr="00F3662B">
              <w:rPr>
                <w:rFonts w:ascii="Arial" w:hAnsi="Arial" w:cs="Arial"/>
                <w:sz w:val="24"/>
                <w:szCs w:val="24"/>
              </w:rPr>
              <w:t xml:space="preserve">Present: Stephen Molloy (Chair); Susan Smith, Gill Swash (minutes); Glenda Morris; Suzanne Ford; Kieran Lamb; Margaret-Mary Mahoney; Lynda </w:t>
            </w:r>
            <w:proofErr w:type="spellStart"/>
            <w:r w:rsidRPr="00F3662B">
              <w:rPr>
                <w:rFonts w:ascii="Arial" w:hAnsi="Arial" w:cs="Arial"/>
                <w:sz w:val="24"/>
                <w:szCs w:val="24"/>
              </w:rPr>
              <w:t>Cotterill</w:t>
            </w:r>
            <w:proofErr w:type="spellEnd"/>
            <w:r w:rsidRPr="00F3662B">
              <w:rPr>
                <w:rFonts w:ascii="Arial" w:hAnsi="Arial" w:cs="Arial"/>
                <w:sz w:val="24"/>
                <w:szCs w:val="24"/>
              </w:rPr>
              <w:t xml:space="preserve">; Bernie Hayes; Beryl Stanley; Jenny </w:t>
            </w:r>
            <w:proofErr w:type="spellStart"/>
            <w:r w:rsidRPr="00F3662B">
              <w:rPr>
                <w:rFonts w:ascii="Arial" w:hAnsi="Arial" w:cs="Arial"/>
                <w:sz w:val="24"/>
                <w:szCs w:val="24"/>
              </w:rPr>
              <w:t>Dorran</w:t>
            </w:r>
            <w:proofErr w:type="spellEnd"/>
            <w:r w:rsidRPr="00F3662B">
              <w:rPr>
                <w:rFonts w:ascii="Arial" w:hAnsi="Arial" w:cs="Arial"/>
                <w:sz w:val="24"/>
                <w:szCs w:val="24"/>
              </w:rPr>
              <w:t xml:space="preserve">; Graham Brecon; Janet Ireland; Anne Roberts; Charles Emmett. </w:t>
            </w:r>
          </w:p>
          <w:p w:rsidR="00FD161B" w:rsidRPr="00F3662B" w:rsidRDefault="00FD161B" w:rsidP="00FD161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FD161B" w:rsidRPr="00F3662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3662B">
              <w:rPr>
                <w:rFonts w:ascii="Arial" w:hAnsi="Arial" w:cs="Arial"/>
                <w:sz w:val="24"/>
                <w:szCs w:val="24"/>
              </w:rPr>
              <w:t xml:space="preserve">Apologies: </w:t>
            </w:r>
            <w:r w:rsidR="00FA29DB">
              <w:rPr>
                <w:rFonts w:ascii="Arial" w:hAnsi="Arial" w:cs="Arial"/>
                <w:sz w:val="24"/>
                <w:szCs w:val="24"/>
              </w:rPr>
              <w:t>Helen Blackburn; Virginia Jordan; Adrienne M</w:t>
            </w:r>
            <w:bookmarkStart w:id="0" w:name="_GoBack"/>
            <w:bookmarkEnd w:id="0"/>
            <w:r w:rsidR="00FA29DB">
              <w:rPr>
                <w:rFonts w:ascii="Arial" w:hAnsi="Arial" w:cs="Arial"/>
                <w:sz w:val="24"/>
                <w:szCs w:val="24"/>
              </w:rPr>
              <w:t>ayers</w:t>
            </w: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FD161B" w:rsidRPr="00F3662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3662B">
              <w:rPr>
                <w:rFonts w:ascii="Arial" w:hAnsi="Arial" w:cs="Arial"/>
                <w:sz w:val="24"/>
                <w:szCs w:val="24"/>
              </w:rPr>
              <w:t>R&amp;D</w:t>
            </w:r>
          </w:p>
          <w:p w:rsidR="00F3662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3662B">
              <w:rPr>
                <w:rFonts w:ascii="Arial" w:hAnsi="Arial" w:cs="Arial"/>
                <w:sz w:val="24"/>
                <w:szCs w:val="24"/>
              </w:rPr>
              <w:t>The group exchanges ideas on how the library can work with R&amp;D and provide evidence for the LQAF.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Contributions included: 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Depends on how active the Trust is.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contribute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items of information at R&amp;D committee meetings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resource availability, copyright changes.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with Endnote and other research tools. </w:t>
            </w:r>
          </w:p>
          <w:p w:rsidR="000E0387" w:rsidRDefault="000E0387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Library Development fund bid for resources such as poster boards.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 to referencing queries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appraisal skills training – option to link up with another trust.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Checking publications and advise on how to publish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Pages on the intranet – RLBUHT shared their material which is on their webpages.</w:t>
            </w:r>
          </w:p>
          <w:p w:rsid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R&amp;D information to library notice boards</w:t>
            </w:r>
          </w:p>
          <w:p w:rsidR="00F3662B" w:rsidRPr="00F3662B" w:rsidRDefault="00F3662B" w:rsidP="00F3662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 is developing archive for R&amp;D NW.</w:t>
            </w:r>
          </w:p>
          <w:p w:rsidR="00F3662B" w:rsidRPr="00F3662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FD161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Agreement: </w:t>
            </w:r>
          </w:p>
          <w:p w:rsidR="00F3662B" w:rsidRDefault="00F3662B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group discussed the proposal to extend borrowing via ILL to bring the CM access agreement in line with GM Help. The group felt that it would be constructive to </w:t>
            </w:r>
            <w:r w:rsidR="007D6E9F">
              <w:rPr>
                <w:rFonts w:ascii="Arial" w:hAnsi="Arial" w:cs="Arial"/>
                <w:sz w:val="24"/>
                <w:szCs w:val="24"/>
              </w:rPr>
              <w:t xml:space="preserve">extend to </w:t>
            </w:r>
            <w:proofErr w:type="gramStart"/>
            <w:r w:rsidR="007D6E9F">
              <w:rPr>
                <w:rFonts w:ascii="Arial" w:hAnsi="Arial" w:cs="Arial"/>
                <w:sz w:val="24"/>
                <w:szCs w:val="24"/>
              </w:rPr>
              <w:t>shared</w:t>
            </w:r>
            <w:proofErr w:type="gramEnd"/>
            <w:r w:rsidR="007D6E9F">
              <w:rPr>
                <w:rFonts w:ascii="Arial" w:hAnsi="Arial" w:cs="Arial"/>
                <w:sz w:val="24"/>
                <w:szCs w:val="24"/>
              </w:rPr>
              <w:t xml:space="preserve"> membership </w:t>
            </w:r>
            <w:r>
              <w:rPr>
                <w:rFonts w:ascii="Arial" w:hAnsi="Arial" w:cs="Arial"/>
                <w:sz w:val="24"/>
                <w:szCs w:val="24"/>
              </w:rPr>
              <w:t>under a revised agreement.</w:t>
            </w:r>
          </w:p>
          <w:p w:rsidR="00F3662B" w:rsidRDefault="007D6E9F" w:rsidP="00F3662B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CD has proposed a bit for a security deposit to insure against books going missing. The CM group supports this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proposal. </w:t>
            </w:r>
          </w:p>
          <w:p w:rsidR="007D6E9F" w:rsidRDefault="007D6E9F" w:rsidP="007D6E9F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behalf of the CM group, SS will communicate our willingness to proceed.  The next meeting of the Cumbria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group is 4</w:t>
            </w:r>
            <w:r w:rsidRPr="007D6E9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August.</w:t>
            </w:r>
          </w:p>
          <w:p w:rsidR="007D6E9F" w:rsidRPr="00F3662B" w:rsidRDefault="007D6E9F" w:rsidP="007D6E9F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6E9F" w:rsidRDefault="007D6E9F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</w:t>
            </w: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0" w:type="dxa"/>
          </w:tcPr>
          <w:p w:rsidR="00FD161B" w:rsidRDefault="00AE1C5E" w:rsidP="00AE1C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Athens: </w:t>
            </w:r>
          </w:p>
          <w:p w:rsidR="00AE1C5E" w:rsidRDefault="00AE1C5E" w:rsidP="00AE1C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 reported on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reprocurement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Athens which has been put back to December.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EduServe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have a new product that would use the Trust login to access resources but this would disadvantage non NHS staff. </w:t>
            </w:r>
          </w:p>
          <w:p w:rsidR="00AE1C5E" w:rsidRDefault="00AE1C5E" w:rsidP="00AE1C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new registration page is not available but problems are still occurring with a big increase in the number of people registering as ‘other’. There is also an increase in the number of non eligible people attempting to register. </w:t>
            </w:r>
          </w:p>
          <w:p w:rsidR="00AE1C5E" w:rsidRDefault="00AE1C5E" w:rsidP="00AE1C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Athens statistics are now available in tables. These will tell us the % of staff who have an Athens acct. Statistics from the publishers have been requested as these will cover the gaps in data from Athens.</w:t>
            </w:r>
          </w:p>
          <w:p w:rsidR="00AE1C5E" w:rsidRPr="00F3662B" w:rsidRDefault="00AE1C5E" w:rsidP="00AE1C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 requested that NARAG make a change to the ‘NHS England’ option to eliminate confusion. AR will follow this up,</w:t>
            </w: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</w:t>
            </w:r>
          </w:p>
          <w:p w:rsidR="00AE1C5E" w:rsidRDefault="00AE1C5E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1B" w:rsidTr="00FD161B">
        <w:tc>
          <w:tcPr>
            <w:tcW w:w="534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FD161B" w:rsidRPr="00F3662B" w:rsidRDefault="00EA02DA" w:rsidP="00EA02DA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Library banners: SM asked if libraries still use their library banners and if there was support to have these updated. SS will take this idea to the regional committee. </w:t>
            </w: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2DA" w:rsidRDefault="00EA02DA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</w:t>
            </w:r>
          </w:p>
        </w:tc>
      </w:tr>
      <w:tr w:rsidR="00FD161B" w:rsidTr="00FD161B">
        <w:tc>
          <w:tcPr>
            <w:tcW w:w="534" w:type="dxa"/>
          </w:tcPr>
          <w:p w:rsidR="00FD161B" w:rsidRDefault="00EA02DA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FD161B" w:rsidRDefault="00EA02DA" w:rsidP="00EA02DA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DoNM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EA02DA" w:rsidRDefault="00EA02DA" w:rsidP="00EA02DA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next meeting will be on 14</w:t>
            </w:r>
            <w:r w:rsidRPr="00EA02D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at Arrow Park.</w:t>
            </w:r>
          </w:p>
          <w:p w:rsidR="00EA02DA" w:rsidRPr="00F3662B" w:rsidRDefault="00EA02DA" w:rsidP="00EA02DA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Fiction in the Health Library (Lead: John Gale.) </w:t>
            </w:r>
          </w:p>
        </w:tc>
        <w:tc>
          <w:tcPr>
            <w:tcW w:w="1462" w:type="dxa"/>
          </w:tcPr>
          <w:p w:rsidR="00FD161B" w:rsidRDefault="00FD161B" w:rsidP="00FD161B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61B" w:rsidRDefault="00FD161B" w:rsidP="00FD161B">
      <w:pPr>
        <w:pStyle w:val="NormalWeb"/>
        <w:jc w:val="center"/>
        <w:rPr>
          <w:rFonts w:ascii="Arial" w:hAnsi="Arial" w:cs="Arial"/>
          <w:sz w:val="24"/>
          <w:szCs w:val="24"/>
        </w:rPr>
      </w:pPr>
    </w:p>
    <w:p w:rsidR="00FD161B" w:rsidRDefault="00FD161B" w:rsidP="00FD161B">
      <w:pPr>
        <w:pStyle w:val="NormalWeb"/>
      </w:pPr>
    </w:p>
    <w:sectPr w:rsidR="00FD161B" w:rsidSect="005F64B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0AA8"/>
    <w:multiLevelType w:val="hybridMultilevel"/>
    <w:tmpl w:val="F55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1B"/>
    <w:rsid w:val="000E0387"/>
    <w:rsid w:val="002754E5"/>
    <w:rsid w:val="00427201"/>
    <w:rsid w:val="005F64B7"/>
    <w:rsid w:val="007D6E9F"/>
    <w:rsid w:val="00AE1C5E"/>
    <w:rsid w:val="00EA02DA"/>
    <w:rsid w:val="00F3662B"/>
    <w:rsid w:val="00FA29DB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6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D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6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D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Women's NHS Foundation Trust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Swash</dc:creator>
  <cp:lastModifiedBy>Administrator</cp:lastModifiedBy>
  <cp:revision>2</cp:revision>
  <dcterms:created xsi:type="dcterms:W3CDTF">2015-07-22T12:33:00Z</dcterms:created>
  <dcterms:modified xsi:type="dcterms:W3CDTF">2015-07-22T12:33:00Z</dcterms:modified>
</cp:coreProperties>
</file>