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8A" w:rsidRPr="009F39D6" w:rsidRDefault="009F39D6">
      <w:pPr>
        <w:rPr>
          <w:b/>
        </w:rPr>
      </w:pPr>
      <w:r>
        <w:rPr>
          <w:b/>
        </w:rPr>
        <w:t>FISH workshop</w:t>
      </w:r>
    </w:p>
    <w:p w:rsidR="00362724" w:rsidRDefault="00362724">
      <w:proofErr w:type="gramStart"/>
      <w:r>
        <w:t>10</w:t>
      </w:r>
      <w:r w:rsidRPr="00362724">
        <w:rPr>
          <w:vertAlign w:val="superscript"/>
        </w:rPr>
        <w:t>th</w:t>
      </w:r>
      <w:r w:rsidR="005D39B5">
        <w:t xml:space="preserve"> June</w:t>
      </w:r>
      <w:r>
        <w:t xml:space="preserve"> 2016</w:t>
      </w:r>
      <w:r w:rsidR="005D39B5">
        <w:t xml:space="preserve"> – part of the Clinical Librarians group meeting at Salford Royal</w:t>
      </w:r>
      <w:r>
        <w:t>.</w:t>
      </w:r>
      <w:proofErr w:type="gramEnd"/>
    </w:p>
    <w:p w:rsidR="00322561" w:rsidRDefault="00322561">
      <w:r>
        <w:t>Facilitated by Eva Thackeray (ET)</w:t>
      </w:r>
      <w:r w:rsidR="005D39B5">
        <w:t xml:space="preserve"> – contact </w:t>
      </w:r>
      <w:hyperlink r:id="rId8" w:history="1">
        <w:r w:rsidR="005D39B5" w:rsidRPr="0073785D">
          <w:rPr>
            <w:rStyle w:val="Hyperlink"/>
          </w:rPr>
          <w:t>eva.thackeray@lthtr.nhs.uk</w:t>
        </w:r>
      </w:hyperlink>
      <w:r w:rsidR="005D39B5">
        <w:t xml:space="preserve"> </w:t>
      </w:r>
    </w:p>
    <w:p w:rsidR="00362724" w:rsidRDefault="00362724">
      <w:r>
        <w:t>Search query: human factors and medication errors.</w:t>
      </w:r>
    </w:p>
    <w:p w:rsidR="00362724" w:rsidRDefault="00362724"/>
    <w:p w:rsidR="00313D4C" w:rsidRDefault="00362724">
      <w:pPr>
        <w:rPr>
          <w:b/>
        </w:rPr>
      </w:pPr>
      <w:r w:rsidRPr="00362724">
        <w:rPr>
          <w:b/>
        </w:rPr>
        <w:t>Resources/databases searched:</w:t>
      </w:r>
    </w:p>
    <w:p w:rsidR="00362724" w:rsidRDefault="00362724" w:rsidP="00362724">
      <w:pPr>
        <w:pStyle w:val="ListParagraph"/>
        <w:numPr>
          <w:ilvl w:val="0"/>
          <w:numId w:val="1"/>
        </w:numPr>
      </w:pPr>
      <w:r>
        <w:t>Google (to establish definition of term “human factors”</w:t>
      </w:r>
      <w:r w:rsidR="00313D4C">
        <w:t>/quick scoping search</w:t>
      </w:r>
      <w:r w:rsidR="00A0399E">
        <w:t>)</w:t>
      </w:r>
      <w:r w:rsidR="00313D4C">
        <w:t xml:space="preserve"> (2)*</w:t>
      </w:r>
    </w:p>
    <w:p w:rsidR="00362724" w:rsidRDefault="00362724" w:rsidP="00362724">
      <w:pPr>
        <w:pStyle w:val="ListParagraph"/>
        <w:numPr>
          <w:ilvl w:val="0"/>
          <w:numId w:val="1"/>
        </w:numPr>
      </w:pPr>
      <w:proofErr w:type="spellStart"/>
      <w:r>
        <w:t>Pubmed</w:t>
      </w:r>
      <w:proofErr w:type="spellEnd"/>
      <w:r w:rsidR="00313D4C">
        <w:t xml:space="preserve"> (</w:t>
      </w:r>
      <w:r w:rsidR="009E4D86">
        <w:t>2</w:t>
      </w:r>
      <w:r w:rsidR="00313D4C">
        <w:t>)</w:t>
      </w:r>
    </w:p>
    <w:p w:rsidR="009A2910" w:rsidRDefault="009A2910" w:rsidP="00362724">
      <w:pPr>
        <w:pStyle w:val="ListParagraph"/>
        <w:numPr>
          <w:ilvl w:val="0"/>
          <w:numId w:val="1"/>
        </w:numPr>
      </w:pPr>
      <w:r>
        <w:t>Evidence search</w:t>
      </w:r>
      <w:r w:rsidR="00313D4C">
        <w:t xml:space="preserve"> (</w:t>
      </w:r>
      <w:r w:rsidR="009E4D86">
        <w:t>3</w:t>
      </w:r>
      <w:r w:rsidR="00313D4C">
        <w:t>)</w:t>
      </w:r>
    </w:p>
    <w:p w:rsidR="00362724" w:rsidRDefault="00362724" w:rsidP="00362724">
      <w:pPr>
        <w:pStyle w:val="ListParagraph"/>
        <w:numPr>
          <w:ilvl w:val="0"/>
          <w:numId w:val="1"/>
        </w:numPr>
      </w:pPr>
      <w:proofErr w:type="spellStart"/>
      <w:r>
        <w:t>HDAS</w:t>
      </w:r>
      <w:proofErr w:type="spellEnd"/>
      <w:r w:rsidR="00E73C82">
        <w:t>:</w:t>
      </w:r>
      <w:r>
        <w:t xml:space="preserve"> Medline </w:t>
      </w:r>
      <w:r w:rsidR="00313D4C">
        <w:t>(1)</w:t>
      </w:r>
      <w:r>
        <w:t>– Embase</w:t>
      </w:r>
      <w:r w:rsidR="00313D4C">
        <w:t xml:space="preserve"> (4)</w:t>
      </w:r>
      <w:r>
        <w:t xml:space="preserve"> –</w:t>
      </w:r>
      <w:r w:rsidR="00313D4C">
        <w:t xml:space="preserve"> </w:t>
      </w:r>
      <w:proofErr w:type="spellStart"/>
      <w:r w:rsidR="00313D4C">
        <w:t>PsycINFO</w:t>
      </w:r>
      <w:proofErr w:type="spellEnd"/>
      <w:r w:rsidR="00313D4C">
        <w:t xml:space="preserve"> (1) – HBE (1) – HMIC (1)</w:t>
      </w:r>
    </w:p>
    <w:p w:rsidR="00362724" w:rsidRDefault="00362724" w:rsidP="00362724">
      <w:pPr>
        <w:pStyle w:val="ListParagraph"/>
        <w:numPr>
          <w:ilvl w:val="0"/>
          <w:numId w:val="1"/>
        </w:numPr>
      </w:pPr>
      <w:r>
        <w:t>Emerald (not v useful beyond human factors ideas)</w:t>
      </w:r>
      <w:r w:rsidR="00313D4C">
        <w:t xml:space="preserve"> (1)</w:t>
      </w:r>
    </w:p>
    <w:p w:rsidR="00362724" w:rsidRDefault="00362724" w:rsidP="00362724">
      <w:pPr>
        <w:pStyle w:val="ListParagraph"/>
        <w:numPr>
          <w:ilvl w:val="0"/>
          <w:numId w:val="1"/>
        </w:numPr>
      </w:pPr>
      <w:r>
        <w:t>Library print resources</w:t>
      </w:r>
      <w:r w:rsidR="00313D4C">
        <w:t xml:space="preserve"> (1)</w:t>
      </w:r>
    </w:p>
    <w:p w:rsidR="009E4D86" w:rsidRDefault="009E4D86" w:rsidP="00362724">
      <w:pPr>
        <w:pStyle w:val="ListParagraph"/>
        <w:numPr>
          <w:ilvl w:val="0"/>
          <w:numId w:val="1"/>
        </w:numPr>
      </w:pPr>
      <w:r>
        <w:t>Trip (1)</w:t>
      </w:r>
    </w:p>
    <w:p w:rsidR="00313D4C" w:rsidRPr="00313D4C" w:rsidRDefault="00313D4C" w:rsidP="00313D4C">
      <w:pPr>
        <w:rPr>
          <w:b/>
        </w:rPr>
      </w:pPr>
      <w:r>
        <w:t>*(no. of people who used the resource)</w:t>
      </w:r>
    </w:p>
    <w:p w:rsidR="00313D4C" w:rsidRDefault="009E4D86">
      <w:r>
        <w:t>The Cochrane Library and</w:t>
      </w:r>
      <w:r w:rsidR="00E73C82">
        <w:t xml:space="preserve"> Best Bets were also mentioned during the workshop discussion.</w:t>
      </w:r>
    </w:p>
    <w:p w:rsidR="00362724" w:rsidRDefault="00362724"/>
    <w:p w:rsidR="00362724" w:rsidRDefault="00362724">
      <w:pPr>
        <w:rPr>
          <w:b/>
        </w:rPr>
      </w:pPr>
      <w:r w:rsidRPr="00362724">
        <w:rPr>
          <w:b/>
        </w:rPr>
        <w:t>Search terms/subject headings and keywords used:</w:t>
      </w:r>
    </w:p>
    <w:p w:rsidR="00362724" w:rsidRDefault="00362724" w:rsidP="00362724">
      <w:pPr>
        <w:pStyle w:val="ListParagraph"/>
        <w:numPr>
          <w:ilvl w:val="0"/>
          <w:numId w:val="2"/>
        </w:numPr>
      </w:pPr>
      <w:r w:rsidRPr="00362724">
        <w:t xml:space="preserve">“human factor” OR “human factors” </w:t>
      </w:r>
    </w:p>
    <w:p w:rsidR="00362724" w:rsidRPr="00362724" w:rsidRDefault="00362724" w:rsidP="00362724">
      <w:pPr>
        <w:pStyle w:val="ListParagraph"/>
        <w:numPr>
          <w:ilvl w:val="0"/>
          <w:numId w:val="2"/>
        </w:numPr>
      </w:pPr>
      <w:r>
        <w:t xml:space="preserve">? concerns regarding the utility/usability </w:t>
      </w:r>
      <w:r w:rsidRPr="00362724">
        <w:t xml:space="preserve">of </w:t>
      </w:r>
      <w:r>
        <w:t xml:space="preserve">Medline </w:t>
      </w:r>
      <w:r w:rsidRPr="00362724">
        <w:t>MeSH term Human Engineering/</w:t>
      </w:r>
    </w:p>
    <w:p w:rsidR="00362724" w:rsidRDefault="00362724" w:rsidP="00362724">
      <w:pPr>
        <w:pStyle w:val="ListParagraph"/>
        <w:numPr>
          <w:ilvl w:val="0"/>
          <w:numId w:val="2"/>
        </w:numPr>
      </w:pPr>
      <w:r w:rsidRPr="00362724">
        <w:t xml:space="preserve">Embase </w:t>
      </w:r>
      <w:r>
        <w:t xml:space="preserve">has a specific </w:t>
      </w:r>
      <w:proofErr w:type="spellStart"/>
      <w:r>
        <w:t>Emtree</w:t>
      </w:r>
      <w:proofErr w:type="spellEnd"/>
      <w:r>
        <w:t xml:space="preserve"> term</w:t>
      </w:r>
      <w:r w:rsidRPr="00362724">
        <w:t>– Human factors/</w:t>
      </w:r>
    </w:p>
    <w:p w:rsidR="00362724" w:rsidRDefault="00362724" w:rsidP="00362724">
      <w:pPr>
        <w:pStyle w:val="ListParagraph"/>
        <w:numPr>
          <w:ilvl w:val="0"/>
          <w:numId w:val="2"/>
        </w:numPr>
      </w:pPr>
      <w:r>
        <w:t>Ergonomics</w:t>
      </w:r>
    </w:p>
    <w:p w:rsidR="00362724" w:rsidRDefault="00362724" w:rsidP="00362724">
      <w:pPr>
        <w:pStyle w:val="ListParagraph"/>
        <w:numPr>
          <w:ilvl w:val="0"/>
          <w:numId w:val="2"/>
        </w:numPr>
      </w:pPr>
      <w:r>
        <w:t>medication errors/</w:t>
      </w:r>
    </w:p>
    <w:p w:rsidR="00362724" w:rsidRDefault="00362724" w:rsidP="00362724">
      <w:pPr>
        <w:pStyle w:val="ListParagraph"/>
        <w:numPr>
          <w:ilvl w:val="0"/>
          <w:numId w:val="2"/>
        </w:numPr>
      </w:pPr>
      <w:r>
        <w:t xml:space="preserve">“prescribing error*” </w:t>
      </w:r>
    </w:p>
    <w:p w:rsidR="00362724" w:rsidRDefault="00362724" w:rsidP="00362724">
      <w:pPr>
        <w:pStyle w:val="ListParagraph"/>
        <w:numPr>
          <w:ilvl w:val="0"/>
          <w:numId w:val="2"/>
        </w:numPr>
      </w:pPr>
      <w:r>
        <w:t>“medication error*”</w:t>
      </w:r>
    </w:p>
    <w:p w:rsidR="00500BC6" w:rsidRDefault="00500BC6" w:rsidP="00362724">
      <w:pPr>
        <w:pStyle w:val="ListParagraph"/>
        <w:numPr>
          <w:ilvl w:val="0"/>
          <w:numId w:val="2"/>
        </w:numPr>
      </w:pPr>
      <w:proofErr w:type="spellStart"/>
      <w:r>
        <w:t>Pharmac</w:t>
      </w:r>
      <w:proofErr w:type="spellEnd"/>
      <w:r>
        <w:t>*</w:t>
      </w:r>
    </w:p>
    <w:p w:rsidR="009A2910" w:rsidRDefault="009A2910" w:rsidP="009A2910">
      <w:r>
        <w:t>It was generally felt that a simple approach (human factors AND medication errors) was sufficient to retrieve useful results as part of a scoping search.</w:t>
      </w:r>
    </w:p>
    <w:p w:rsidR="00500BC6" w:rsidRDefault="00500BC6" w:rsidP="00500BC6">
      <w:r>
        <w:t>Other terms that could be used for more comprehensive coverage of human factors:</w:t>
      </w:r>
    </w:p>
    <w:p w:rsidR="00500BC6" w:rsidRPr="00500BC6" w:rsidRDefault="00500BC6" w:rsidP="00500BC6">
      <w:pPr>
        <w:ind w:left="567" w:right="567"/>
      </w:pPr>
      <w:r>
        <w:t xml:space="preserve">Human error, quality improvement, human factors investigation tool, decision making, situational awareness, leadership, communication, error management, personality and behaviour, </w:t>
      </w:r>
      <w:r w:rsidRPr="00500BC6">
        <w:t xml:space="preserve">psychological factors, stress*, fatigue*, tired*, burnout, overwork*, workload, overload*, distract*, interrupt*, disrupt*, forgetful*, poor concentration, lack of concentration, lack of staff, understaff*, short* adj2 staff*, poor communication, inadequate communication, lack of communication, misunderstanding*, lack of </w:t>
      </w:r>
      <w:r w:rsidRPr="00500BC6">
        <w:lastRenderedPageBreak/>
        <w:t>training, inadequate training, lack of knowledge, knowledge deficit, lack of skill*, skill* deficit, poor performance, performance deficit</w:t>
      </w:r>
    </w:p>
    <w:p w:rsidR="00B3254E" w:rsidRDefault="00B3254E" w:rsidP="00362724"/>
    <w:p w:rsidR="009A2910" w:rsidRPr="00DB03B8" w:rsidRDefault="009A2910" w:rsidP="00362724">
      <w:pPr>
        <w:rPr>
          <w:b/>
        </w:rPr>
      </w:pPr>
      <w:r w:rsidRPr="00DB03B8">
        <w:rPr>
          <w:b/>
        </w:rPr>
        <w:t>Top 5 results:</w:t>
      </w:r>
    </w:p>
    <w:p w:rsidR="00322561" w:rsidRDefault="009A2910">
      <w:r>
        <w:t>A mixture of journal articles and reports were chosen as part of the top 5 results.</w:t>
      </w:r>
    </w:p>
    <w:p w:rsidR="00AB7CCA" w:rsidRDefault="00E7632E">
      <w:r>
        <w:t>Five</w:t>
      </w:r>
      <w:r w:rsidR="00EE76C2">
        <w:t xml:space="preserve"> workshop participants handed in their top 5 </w:t>
      </w:r>
      <w:r w:rsidR="00AB7CCA">
        <w:t>results, see the summary below sorted by rank (1</w:t>
      </w:r>
      <w:r w:rsidR="005D39B5">
        <w:t>)</w:t>
      </w:r>
      <w:r w:rsidR="00AB7CCA">
        <w:t xml:space="preserve">, </w:t>
      </w:r>
      <w:r w:rsidR="005D39B5">
        <w:t>(</w:t>
      </w:r>
      <w:r w:rsidR="00AB7CCA">
        <w:t>2</w:t>
      </w:r>
      <w:r w:rsidR="005D39B5">
        <w:t>)</w:t>
      </w:r>
      <w:r w:rsidR="00AB7CCA">
        <w:t xml:space="preserve">, </w:t>
      </w:r>
      <w:r w:rsidR="005D39B5">
        <w:t>(</w:t>
      </w:r>
      <w:r w:rsidR="00AB7CCA">
        <w:t>3</w:t>
      </w:r>
      <w:r w:rsidR="005D39B5">
        <w:t>)</w:t>
      </w:r>
      <w:r w:rsidR="00AB7CCA">
        <w:t xml:space="preserve">, </w:t>
      </w:r>
      <w:r w:rsidR="005D39B5">
        <w:t>(</w:t>
      </w:r>
      <w:r w:rsidR="00AB7CCA">
        <w:t>4</w:t>
      </w:r>
      <w:r w:rsidR="005D39B5">
        <w:t>)</w:t>
      </w:r>
      <w:r w:rsidR="00AB7CCA">
        <w:t xml:space="preserve">, or </w:t>
      </w:r>
      <w:r w:rsidR="005D39B5">
        <w:t>(</w:t>
      </w:r>
      <w:r w:rsidR="00AB7CCA">
        <w:t>5).</w:t>
      </w:r>
    </w:p>
    <w:p w:rsidR="00322561" w:rsidRDefault="00322561">
      <w:r>
        <w:t xml:space="preserve">Whilst compiling these results, I [ET] noticed that three of them (indicated by an asterisk) are conference abstracts (found on Embase). </w:t>
      </w:r>
      <w:r w:rsidR="005E23E5">
        <w:t xml:space="preserve">This is something to look out for whilst searching, because conference abstracts are low level evidence and a surprising choice for the top 5 results in a search that wasn’t on a rare topic. Of course, and this might explain it all, </w:t>
      </w:r>
      <w:r>
        <w:t xml:space="preserve">I </w:t>
      </w:r>
      <w:r w:rsidR="005E23E5">
        <w:t>realise that</w:t>
      </w:r>
      <w:r>
        <w:t xml:space="preserve"> participants will </w:t>
      </w:r>
      <w:r w:rsidR="00BC04BF">
        <w:t>not have been undertaking</w:t>
      </w:r>
      <w:r>
        <w:t xml:space="preserve"> </w:t>
      </w:r>
      <w:r w:rsidR="00BC04BF">
        <w:t>this</w:t>
      </w:r>
      <w:r>
        <w:t xml:space="preserve"> search </w:t>
      </w:r>
      <w:r w:rsidR="00BC04BF">
        <w:t xml:space="preserve">quite </w:t>
      </w:r>
      <w:r>
        <w:t xml:space="preserve">as thoroughly as </w:t>
      </w:r>
      <w:r w:rsidR="005E23E5">
        <w:t>they would normally at work!</w:t>
      </w:r>
    </w:p>
    <w:p w:rsidR="00926633" w:rsidRPr="006F1325" w:rsidRDefault="00926633" w:rsidP="00926633">
      <w:pPr>
        <w:ind w:left="284" w:hanging="284"/>
        <w:rPr>
          <w:rStyle w:val="lookup-resultcontent"/>
          <w:rFonts w:cs="Helvetica"/>
        </w:rPr>
      </w:pPr>
      <w:r w:rsidRPr="006F1325">
        <w:rPr>
          <w:rStyle w:val="lookup-resultcontent"/>
          <w:rFonts w:cs="Helvetica"/>
        </w:rPr>
        <w:t xml:space="preserve">(1) (3) (3) </w:t>
      </w:r>
      <w:proofErr w:type="spellStart"/>
      <w:r w:rsidRPr="006F1325">
        <w:rPr>
          <w:rStyle w:val="lookup-resultcontent"/>
          <w:rFonts w:cs="Helvetica"/>
        </w:rPr>
        <w:t>Gluyas</w:t>
      </w:r>
      <w:proofErr w:type="spellEnd"/>
      <w:r w:rsidRPr="006F1325">
        <w:rPr>
          <w:rStyle w:val="lookup-resultcontent"/>
          <w:rFonts w:cs="Helvetica"/>
        </w:rPr>
        <w:t>, H. and Morrison, P. (2014) Human factors and medication errors: A case study,</w:t>
      </w:r>
      <w:r w:rsidRPr="006F1325">
        <w:rPr>
          <w:rStyle w:val="apple-converted-space"/>
          <w:rFonts w:cs="Helvetica"/>
        </w:rPr>
        <w:t> </w:t>
      </w:r>
      <w:r w:rsidRPr="006F1325">
        <w:rPr>
          <w:rStyle w:val="lookup-resultcontent"/>
          <w:rFonts w:cs="Helvetica"/>
          <w:i/>
          <w:iCs/>
        </w:rPr>
        <w:t>Nursing Standard</w:t>
      </w:r>
      <w:r w:rsidRPr="006F1325">
        <w:rPr>
          <w:rStyle w:val="lookup-resultcontent"/>
          <w:rFonts w:cs="Helvetica"/>
        </w:rPr>
        <w:t>, 29(15), pp.37–42.</w:t>
      </w:r>
    </w:p>
    <w:p w:rsidR="00926633" w:rsidRPr="00B045EB" w:rsidRDefault="00926633" w:rsidP="00926633">
      <w:pPr>
        <w:ind w:left="284" w:hanging="284"/>
        <w:rPr>
          <w:rStyle w:val="lookup-resultcontent"/>
          <w:rFonts w:cs="Helvetica"/>
        </w:rPr>
      </w:pPr>
      <w:r>
        <w:rPr>
          <w:rStyle w:val="lookup-resultcontent"/>
          <w:rFonts w:cs="Helvetica"/>
        </w:rPr>
        <w:t xml:space="preserve">(1) </w:t>
      </w:r>
      <w:r w:rsidRPr="00B045EB">
        <w:rPr>
          <w:rStyle w:val="lookup-resultcontent"/>
          <w:rFonts w:cs="Helvetica"/>
        </w:rPr>
        <w:t>Durham, M.L</w:t>
      </w:r>
      <w:r>
        <w:rPr>
          <w:rStyle w:val="lookup-resultcontent"/>
          <w:rFonts w:cs="Helvetica"/>
        </w:rPr>
        <w:t>. et al</w:t>
      </w:r>
      <w:r w:rsidRPr="00B045EB">
        <w:rPr>
          <w:rStyle w:val="lookup-resultcontent"/>
          <w:rFonts w:cs="Helvetica"/>
        </w:rPr>
        <w:t xml:space="preserve"> (2016) Reducing medication administration errors in acute and critical care,</w:t>
      </w:r>
      <w:r w:rsidRPr="00B045EB">
        <w:rPr>
          <w:rStyle w:val="apple-converted-space"/>
          <w:rFonts w:cs="Helvetica"/>
        </w:rPr>
        <w:t> </w:t>
      </w:r>
      <w:r w:rsidRPr="00B045EB">
        <w:rPr>
          <w:rStyle w:val="lookup-resultcontent"/>
          <w:rFonts w:cs="Helvetica"/>
          <w:i/>
          <w:iCs/>
        </w:rPr>
        <w:t>JONA: The Journal of Nursing Administration</w:t>
      </w:r>
      <w:r w:rsidRPr="00B045EB">
        <w:rPr>
          <w:rStyle w:val="lookup-resultcontent"/>
          <w:rFonts w:cs="Helvetica"/>
        </w:rPr>
        <w:t xml:space="preserve">, 46(2), </w:t>
      </w:r>
      <w:r>
        <w:rPr>
          <w:rStyle w:val="lookup-resultcontent"/>
          <w:rFonts w:cs="Helvetica"/>
        </w:rPr>
        <w:t>pp.</w:t>
      </w:r>
      <w:r w:rsidRPr="00B045EB">
        <w:rPr>
          <w:rStyle w:val="lookup-resultcontent"/>
          <w:rFonts w:cs="Helvetica"/>
        </w:rPr>
        <w:t>75–81</w:t>
      </w:r>
      <w:r>
        <w:rPr>
          <w:rStyle w:val="lookup-resultcontent"/>
          <w:rFonts w:cs="Helvetica"/>
        </w:rPr>
        <w:t>.</w:t>
      </w:r>
    </w:p>
    <w:p w:rsidR="00926633" w:rsidRDefault="00926633" w:rsidP="00926633">
      <w:pPr>
        <w:ind w:left="284" w:hanging="284"/>
      </w:pPr>
      <w:r>
        <w:t xml:space="preserve">(1) </w:t>
      </w:r>
      <w:r w:rsidRPr="00B045EB">
        <w:t>Health Foundation (2012) </w:t>
      </w:r>
      <w:r w:rsidRPr="00B045EB">
        <w:rPr>
          <w:i/>
          <w:iCs/>
        </w:rPr>
        <w:t xml:space="preserve">Evidence </w:t>
      </w:r>
      <w:proofErr w:type="gramStart"/>
      <w:r w:rsidRPr="00B045EB">
        <w:rPr>
          <w:i/>
          <w:iCs/>
        </w:rPr>
        <w:t>scan</w:t>
      </w:r>
      <w:proofErr w:type="gramEnd"/>
      <w:r w:rsidRPr="00B045EB">
        <w:rPr>
          <w:i/>
          <w:iCs/>
        </w:rPr>
        <w:t>: reducing prescribing errors</w:t>
      </w:r>
      <w:r w:rsidRPr="00B045EB">
        <w:t xml:space="preserve">. Available at: </w:t>
      </w:r>
      <w:hyperlink r:id="rId9" w:history="1">
        <w:r w:rsidRPr="004C7412">
          <w:rPr>
            <w:rStyle w:val="Hyperlink"/>
          </w:rPr>
          <w:t>http://www.health.org.uk/sites/default/files/ReducingPrescribingErrors.pdf</w:t>
        </w:r>
      </w:hyperlink>
      <w:r w:rsidRPr="00B045EB">
        <w:t xml:space="preserve"> (Accessed: 30 June 2016).</w:t>
      </w:r>
    </w:p>
    <w:p w:rsidR="00926633" w:rsidRPr="00B045EB" w:rsidRDefault="00926633" w:rsidP="00926633">
      <w:pPr>
        <w:ind w:left="284" w:hanging="284"/>
        <w:rPr>
          <w:rFonts w:cs="Arial"/>
          <w:shd w:val="clear" w:color="auto" w:fill="FFFFFF"/>
        </w:rPr>
      </w:pPr>
      <w:r>
        <w:rPr>
          <w:rStyle w:val="author"/>
          <w:rFonts w:cs="Arial"/>
          <w:bdr w:val="none" w:sz="0" w:space="0" w:color="auto" w:frame="1"/>
          <w:shd w:val="clear" w:color="auto" w:fill="FFFFFF"/>
        </w:rPr>
        <w:t xml:space="preserve">(1) </w:t>
      </w:r>
      <w:proofErr w:type="spellStart"/>
      <w:r w:rsidRPr="00B045EB">
        <w:rPr>
          <w:rStyle w:val="author"/>
          <w:rFonts w:cs="Arial"/>
          <w:bdr w:val="none" w:sz="0" w:space="0" w:color="auto" w:frame="1"/>
          <w:shd w:val="clear" w:color="auto" w:fill="FFFFFF"/>
        </w:rPr>
        <w:t>Maaskant</w:t>
      </w:r>
      <w:proofErr w:type="spellEnd"/>
      <w:r>
        <w:rPr>
          <w:rStyle w:val="author"/>
          <w:rFonts w:cs="Arial"/>
          <w:bdr w:val="none" w:sz="0" w:space="0" w:color="auto" w:frame="1"/>
          <w:shd w:val="clear" w:color="auto" w:fill="FFFFFF"/>
        </w:rPr>
        <w:t>,</w:t>
      </w:r>
      <w:r w:rsidRPr="00B045EB">
        <w:rPr>
          <w:rStyle w:val="author"/>
          <w:rFonts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045EB">
        <w:rPr>
          <w:rStyle w:val="author"/>
          <w:rFonts w:cs="Arial"/>
          <w:bdr w:val="none" w:sz="0" w:space="0" w:color="auto" w:frame="1"/>
          <w:shd w:val="clear" w:color="auto" w:fill="FFFFFF"/>
        </w:rPr>
        <w:t>J</w:t>
      </w:r>
      <w:r>
        <w:rPr>
          <w:rStyle w:val="author"/>
          <w:rFonts w:cs="Arial"/>
          <w:bdr w:val="none" w:sz="0" w:space="0" w:color="auto" w:frame="1"/>
          <w:shd w:val="clear" w:color="auto" w:fill="FFFFFF"/>
        </w:rPr>
        <w:t>.</w:t>
      </w:r>
      <w:r w:rsidRPr="00B045EB">
        <w:rPr>
          <w:rStyle w:val="author"/>
          <w:rFonts w:cs="Arial"/>
          <w:bdr w:val="none" w:sz="0" w:space="0" w:color="auto" w:frame="1"/>
          <w:shd w:val="clear" w:color="auto" w:fill="FFFFFF"/>
        </w:rPr>
        <w:t>M</w:t>
      </w:r>
      <w:r>
        <w:rPr>
          <w:rStyle w:val="author"/>
          <w:rFonts w:cs="Arial"/>
          <w:bdr w:val="none" w:sz="0" w:space="0" w:color="auto" w:frame="1"/>
          <w:shd w:val="clear" w:color="auto" w:fill="FFFFFF"/>
        </w:rPr>
        <w:t>.</w:t>
      </w:r>
      <w:proofErr w:type="spellEnd"/>
      <w:r>
        <w:rPr>
          <w:rStyle w:val="author"/>
          <w:rFonts w:cs="Arial"/>
          <w:bdr w:val="none" w:sz="0" w:space="0" w:color="auto" w:frame="1"/>
          <w:shd w:val="clear" w:color="auto" w:fill="FFFFFF"/>
        </w:rPr>
        <w:t xml:space="preserve"> et al (2015) </w:t>
      </w:r>
      <w:r w:rsidRPr="00B045EB">
        <w:rPr>
          <w:rStyle w:val="articletitle"/>
          <w:rFonts w:cs="Arial"/>
          <w:bdr w:val="none" w:sz="0" w:space="0" w:color="auto" w:frame="1"/>
          <w:shd w:val="clear" w:color="auto" w:fill="FFFFFF"/>
        </w:rPr>
        <w:t>Interventions for reducing medication errors in children in hospital</w:t>
      </w:r>
      <w:r w:rsidRPr="00B045EB">
        <w:rPr>
          <w:rFonts w:cs="Arial"/>
          <w:shd w:val="clear" w:color="auto" w:fill="FFFFFF"/>
        </w:rPr>
        <w:t>.</w:t>
      </w:r>
      <w:r>
        <w:rPr>
          <w:rStyle w:val="apple-converted-space"/>
          <w:rFonts w:cs="Arial"/>
          <w:shd w:val="clear" w:color="auto" w:fill="FFFFFF"/>
        </w:rPr>
        <w:t xml:space="preserve"> </w:t>
      </w:r>
      <w:r w:rsidRPr="00B045EB">
        <w:rPr>
          <w:rStyle w:val="apple-converted-space"/>
          <w:rFonts w:cs="Arial"/>
          <w:i/>
          <w:shd w:val="clear" w:color="auto" w:fill="FFFFFF"/>
        </w:rPr>
        <w:t>C</w:t>
      </w:r>
      <w:r w:rsidRPr="00B045EB">
        <w:rPr>
          <w:rStyle w:val="othertitle"/>
          <w:rFonts w:cs="Arial"/>
          <w:i/>
          <w:bdr w:val="none" w:sz="0" w:space="0" w:color="auto" w:frame="1"/>
          <w:shd w:val="clear" w:color="auto" w:fill="FFFFFF"/>
        </w:rPr>
        <w:t>ochrane Database of Systematic Reviews</w:t>
      </w:r>
      <w:r>
        <w:rPr>
          <w:rStyle w:val="apple-converted-space"/>
          <w:rFonts w:cs="Arial"/>
          <w:shd w:val="clear" w:color="auto" w:fill="FFFFFF"/>
        </w:rPr>
        <w:t>,</w:t>
      </w:r>
      <w:r w:rsidRPr="00B045EB">
        <w:rPr>
          <w:rFonts w:cs="Arial"/>
          <w:shd w:val="clear" w:color="auto" w:fill="FFFFFF"/>
        </w:rPr>
        <w:t xml:space="preserve"> Issue</w:t>
      </w:r>
      <w:r w:rsidRPr="00B045EB">
        <w:rPr>
          <w:rStyle w:val="apple-converted-space"/>
          <w:rFonts w:cs="Arial"/>
          <w:shd w:val="clear" w:color="auto" w:fill="FFFFFF"/>
        </w:rPr>
        <w:t> </w:t>
      </w:r>
      <w:r w:rsidRPr="00B045EB">
        <w:rPr>
          <w:rStyle w:val="citedissue"/>
          <w:rFonts w:cs="Arial"/>
          <w:bdr w:val="none" w:sz="0" w:space="0" w:color="auto" w:frame="1"/>
          <w:shd w:val="clear" w:color="auto" w:fill="FFFFFF"/>
        </w:rPr>
        <w:t>3</w:t>
      </w:r>
      <w:r w:rsidRPr="00B045EB">
        <w:rPr>
          <w:rFonts w:cs="Arial"/>
          <w:shd w:val="clear" w:color="auto" w:fill="FFFFFF"/>
        </w:rPr>
        <w:t>. Art. No.: CD006208. DOI: 10.1002/14651858.CD006208.pub3.</w:t>
      </w:r>
    </w:p>
    <w:p w:rsidR="00926633" w:rsidRPr="00B045EB" w:rsidRDefault="00926633" w:rsidP="00926633">
      <w:pPr>
        <w:ind w:left="284" w:hanging="284"/>
        <w:rPr>
          <w:b/>
        </w:rPr>
      </w:pPr>
      <w:r>
        <w:t xml:space="preserve">(1) </w:t>
      </w:r>
      <w:r w:rsidRPr="00B045EB">
        <w:t>Russ, A.L</w:t>
      </w:r>
      <w:r>
        <w:t xml:space="preserve">. </w:t>
      </w:r>
      <w:r>
        <w:rPr>
          <w:rStyle w:val="lookup-resultcontent"/>
          <w:rFonts w:cs="Helvetica"/>
        </w:rPr>
        <w:t>et al</w:t>
      </w:r>
      <w:r w:rsidRPr="00B045EB">
        <w:t xml:space="preserve"> (2013) </w:t>
      </w:r>
      <w:proofErr w:type="gramStart"/>
      <w:r w:rsidRPr="00B045EB">
        <w:t>The</w:t>
      </w:r>
      <w:proofErr w:type="gramEnd"/>
      <w:r w:rsidRPr="00B045EB">
        <w:t xml:space="preserve"> science of human factors: Separating fact from fiction, </w:t>
      </w:r>
      <w:r w:rsidRPr="00B045EB">
        <w:rPr>
          <w:i/>
          <w:iCs/>
        </w:rPr>
        <w:t>BMJ Quality &amp; Safety</w:t>
      </w:r>
      <w:r w:rsidRPr="00B045EB">
        <w:t xml:space="preserve">, 22(10), </w:t>
      </w:r>
      <w:r>
        <w:t>pp.</w:t>
      </w:r>
      <w:r w:rsidRPr="00B045EB">
        <w:t>802–808.</w:t>
      </w:r>
      <w:r w:rsidRPr="00B045EB">
        <w:rPr>
          <w:b/>
        </w:rPr>
        <w:t xml:space="preserve"> </w:t>
      </w:r>
    </w:p>
    <w:p w:rsidR="00926633" w:rsidRDefault="00926633" w:rsidP="00926633">
      <w:pPr>
        <w:ind w:left="284" w:hanging="284"/>
      </w:pPr>
      <w:r>
        <w:t xml:space="preserve">(2) (5) </w:t>
      </w:r>
      <w:proofErr w:type="spellStart"/>
      <w:r w:rsidRPr="00B045EB">
        <w:t>Carthey</w:t>
      </w:r>
      <w:proofErr w:type="spellEnd"/>
      <w:r w:rsidRPr="00B045EB">
        <w:t>, J.</w:t>
      </w:r>
      <w:r>
        <w:t xml:space="preserve"> et al</w:t>
      </w:r>
      <w:r w:rsidRPr="00B045EB">
        <w:t xml:space="preserve"> (2009) </w:t>
      </w:r>
      <w:proofErr w:type="gramStart"/>
      <w:r w:rsidRPr="00B045EB">
        <w:rPr>
          <w:i/>
          <w:iCs/>
        </w:rPr>
        <w:t>The</w:t>
      </w:r>
      <w:proofErr w:type="gramEnd"/>
      <w:r w:rsidRPr="00B045EB">
        <w:rPr>
          <w:i/>
          <w:iCs/>
        </w:rPr>
        <w:t xml:space="preserve"> ‘how to guide’ for implementing human factors in healthcare. Patient safety </w:t>
      </w:r>
      <w:proofErr w:type="spellStart"/>
      <w:r w:rsidRPr="00B045EB">
        <w:rPr>
          <w:i/>
          <w:iCs/>
        </w:rPr>
        <w:t>first.</w:t>
      </w:r>
      <w:r w:rsidRPr="00B045EB">
        <w:t>Available</w:t>
      </w:r>
      <w:proofErr w:type="spellEnd"/>
      <w:r w:rsidRPr="00B045EB">
        <w:t xml:space="preserve"> at: </w:t>
      </w:r>
      <w:hyperlink r:id="rId10" w:history="1">
        <w:r w:rsidRPr="004C7412">
          <w:rPr>
            <w:rStyle w:val="Hyperlink"/>
          </w:rPr>
          <w:t>http://www.institute.nhs.uk/images/documents/SaferCare/Human-Factors-How-to-Guide-v1.2.pdf</w:t>
        </w:r>
      </w:hyperlink>
      <w:r w:rsidRPr="00B045EB">
        <w:t xml:space="preserve"> (Accessed: 30 June 2016).</w:t>
      </w:r>
    </w:p>
    <w:p w:rsidR="00926633" w:rsidRDefault="00926633" w:rsidP="00926633">
      <w:pPr>
        <w:ind w:left="284" w:hanging="284"/>
        <w:rPr>
          <w:rStyle w:val="lookup-resultcontent"/>
          <w:rFonts w:cs="Helvetica"/>
        </w:rPr>
      </w:pPr>
      <w:r>
        <w:rPr>
          <w:rStyle w:val="lookup-resultcontent"/>
          <w:rFonts w:cs="Helvetica"/>
        </w:rPr>
        <w:t>(2)</w:t>
      </w:r>
      <w:r w:rsidRPr="00B045EB">
        <w:rPr>
          <w:rStyle w:val="lookup-resultcontent"/>
          <w:rFonts w:cs="Helvetica"/>
        </w:rPr>
        <w:t>*</w:t>
      </w:r>
      <w:proofErr w:type="spellStart"/>
      <w:r w:rsidRPr="00B045EB">
        <w:rPr>
          <w:rStyle w:val="lookup-resultcontent"/>
          <w:rFonts w:cs="Helvetica"/>
        </w:rPr>
        <w:t>Bassi</w:t>
      </w:r>
      <w:proofErr w:type="spellEnd"/>
      <w:r w:rsidRPr="00B045EB">
        <w:rPr>
          <w:rStyle w:val="lookup-resultcontent"/>
          <w:rFonts w:cs="Helvetica"/>
        </w:rPr>
        <w:t xml:space="preserve">, H. </w:t>
      </w:r>
      <w:r>
        <w:rPr>
          <w:rStyle w:val="lookup-resultcontent"/>
          <w:rFonts w:cs="Helvetica"/>
        </w:rPr>
        <w:t xml:space="preserve">et al </w:t>
      </w:r>
      <w:r w:rsidRPr="00B045EB">
        <w:rPr>
          <w:rStyle w:val="lookup-resultcontent"/>
          <w:rFonts w:cs="Helvetica"/>
        </w:rPr>
        <w:t xml:space="preserve">(2014) (Future models of care) Educational intervention to increase hospital pharmacist exposure and instigate safe prescribing in undergraduate medical students: our future doctors, </w:t>
      </w:r>
      <w:r w:rsidRPr="00B045EB">
        <w:rPr>
          <w:rStyle w:val="lookup-resultcontent"/>
          <w:rFonts w:cs="Helvetica"/>
          <w:i/>
          <w:iCs/>
        </w:rPr>
        <w:t>International Journal of Pharmacy Practice</w:t>
      </w:r>
      <w:r w:rsidRPr="00B045EB">
        <w:rPr>
          <w:rStyle w:val="lookup-resultcontent"/>
          <w:rFonts w:cs="Helvetica"/>
        </w:rPr>
        <w:t xml:space="preserve">, 22(Supplement 2), </w:t>
      </w:r>
      <w:r>
        <w:rPr>
          <w:rStyle w:val="lookup-resultcontent"/>
          <w:rFonts w:cs="Helvetica"/>
        </w:rPr>
        <w:t>pp.</w:t>
      </w:r>
      <w:r w:rsidRPr="00B045EB">
        <w:rPr>
          <w:rStyle w:val="lookup-resultcontent"/>
          <w:rFonts w:cs="Helvetica"/>
        </w:rPr>
        <w:t>51–52.</w:t>
      </w:r>
    </w:p>
    <w:p w:rsidR="00926633" w:rsidRPr="00B045EB" w:rsidRDefault="00926633" w:rsidP="00926633">
      <w:pPr>
        <w:ind w:left="284" w:hanging="284"/>
        <w:rPr>
          <w:b/>
        </w:rPr>
      </w:pPr>
      <w:r>
        <w:rPr>
          <w:rStyle w:val="lookup-resultcontent"/>
          <w:rFonts w:cs="Helvetica"/>
        </w:rPr>
        <w:t xml:space="preserve">(2) </w:t>
      </w:r>
      <w:proofErr w:type="spellStart"/>
      <w:r w:rsidRPr="00B045EB">
        <w:rPr>
          <w:rStyle w:val="lookup-resultcontent"/>
          <w:rFonts w:cs="Helvetica"/>
        </w:rPr>
        <w:t>Carayon</w:t>
      </w:r>
      <w:proofErr w:type="spellEnd"/>
      <w:r w:rsidRPr="00B045EB">
        <w:rPr>
          <w:rStyle w:val="lookup-resultcontent"/>
          <w:rFonts w:cs="Helvetica"/>
        </w:rPr>
        <w:t xml:space="preserve">, P., </w:t>
      </w:r>
      <w:proofErr w:type="spellStart"/>
      <w:r w:rsidRPr="00B045EB">
        <w:rPr>
          <w:rStyle w:val="lookup-resultcontent"/>
          <w:rFonts w:cs="Helvetica"/>
        </w:rPr>
        <w:t>Xie</w:t>
      </w:r>
      <w:proofErr w:type="spellEnd"/>
      <w:r w:rsidRPr="00B045EB">
        <w:rPr>
          <w:rStyle w:val="lookup-resultcontent"/>
          <w:rFonts w:cs="Helvetica"/>
        </w:rPr>
        <w:t xml:space="preserve">, A. and </w:t>
      </w:r>
      <w:proofErr w:type="spellStart"/>
      <w:r w:rsidRPr="00B045EB">
        <w:rPr>
          <w:rStyle w:val="lookup-resultcontent"/>
          <w:rFonts w:cs="Helvetica"/>
        </w:rPr>
        <w:t>Kianfar</w:t>
      </w:r>
      <w:proofErr w:type="spellEnd"/>
      <w:r w:rsidRPr="00B045EB">
        <w:rPr>
          <w:rStyle w:val="lookup-resultcontent"/>
          <w:rFonts w:cs="Helvetica"/>
        </w:rPr>
        <w:t>, S. (2013) Human factors and ergonomics as a patient safety practice,</w:t>
      </w:r>
      <w:r w:rsidRPr="00B045EB">
        <w:rPr>
          <w:rStyle w:val="apple-converted-space"/>
          <w:rFonts w:cs="Helvetica"/>
        </w:rPr>
        <w:t> </w:t>
      </w:r>
      <w:r w:rsidRPr="00B045EB">
        <w:rPr>
          <w:rStyle w:val="lookup-resultcontent"/>
          <w:rFonts w:cs="Helvetica"/>
          <w:i/>
          <w:iCs/>
        </w:rPr>
        <w:t>BMJ Quality &amp; Safety</w:t>
      </w:r>
      <w:r w:rsidRPr="00B045EB">
        <w:rPr>
          <w:rStyle w:val="lookup-resultcontent"/>
          <w:rFonts w:cs="Helvetica"/>
        </w:rPr>
        <w:t xml:space="preserve">, 23(3), </w:t>
      </w:r>
      <w:r>
        <w:rPr>
          <w:rStyle w:val="lookup-resultcontent"/>
          <w:rFonts w:cs="Helvetica"/>
        </w:rPr>
        <w:t>pp.</w:t>
      </w:r>
      <w:r w:rsidRPr="00B045EB">
        <w:rPr>
          <w:rStyle w:val="lookup-resultcontent"/>
          <w:rFonts w:cs="Helvetica"/>
        </w:rPr>
        <w:t>196–205.</w:t>
      </w:r>
    </w:p>
    <w:p w:rsidR="00926633" w:rsidRPr="00B045EB" w:rsidRDefault="00926633" w:rsidP="00926633">
      <w:pPr>
        <w:ind w:left="284" w:hanging="284"/>
        <w:rPr>
          <w:rStyle w:val="apple-converted-space"/>
          <w:rFonts w:cs="Helvetica"/>
        </w:rPr>
      </w:pPr>
      <w:r>
        <w:rPr>
          <w:rStyle w:val="lookup-resultcontent"/>
          <w:rFonts w:cs="Helvetica"/>
        </w:rPr>
        <w:t xml:space="preserve">(2) </w:t>
      </w:r>
      <w:r w:rsidRPr="00B045EB">
        <w:rPr>
          <w:rStyle w:val="lookup-resultcontent"/>
          <w:rFonts w:cs="Helvetica"/>
        </w:rPr>
        <w:t xml:space="preserve">Patel, S. and </w:t>
      </w:r>
      <w:proofErr w:type="spellStart"/>
      <w:r w:rsidRPr="00B045EB">
        <w:rPr>
          <w:rStyle w:val="lookup-resultcontent"/>
          <w:rFonts w:cs="Helvetica"/>
        </w:rPr>
        <w:t>Loveridge</w:t>
      </w:r>
      <w:proofErr w:type="spellEnd"/>
      <w:r w:rsidRPr="00B045EB">
        <w:rPr>
          <w:rStyle w:val="lookup-resultcontent"/>
          <w:rFonts w:cs="Helvetica"/>
        </w:rPr>
        <w:t xml:space="preserve">, R. (2015) Obstetric </w:t>
      </w:r>
      <w:proofErr w:type="spellStart"/>
      <w:r w:rsidRPr="00B045EB">
        <w:rPr>
          <w:rStyle w:val="lookup-resultcontent"/>
          <w:rFonts w:cs="Helvetica"/>
        </w:rPr>
        <w:t>Neuraxial</w:t>
      </w:r>
      <w:proofErr w:type="spellEnd"/>
      <w:r w:rsidRPr="00B045EB">
        <w:rPr>
          <w:rStyle w:val="lookup-resultcontent"/>
          <w:rFonts w:cs="Helvetica"/>
        </w:rPr>
        <w:t xml:space="preserve"> drug administration errors,</w:t>
      </w:r>
      <w:r w:rsidRPr="00B045EB">
        <w:rPr>
          <w:rStyle w:val="apple-converted-space"/>
          <w:rFonts w:cs="Helvetica"/>
        </w:rPr>
        <w:t> </w:t>
      </w:r>
      <w:proofErr w:type="spellStart"/>
      <w:r w:rsidRPr="00B045EB">
        <w:rPr>
          <w:rStyle w:val="lookup-resultcontent"/>
          <w:rFonts w:cs="Helvetica"/>
          <w:i/>
          <w:iCs/>
        </w:rPr>
        <w:t>Anesthesia</w:t>
      </w:r>
      <w:proofErr w:type="spellEnd"/>
      <w:r w:rsidRPr="00B045EB">
        <w:rPr>
          <w:rStyle w:val="lookup-resultcontent"/>
          <w:rFonts w:cs="Helvetica"/>
          <w:i/>
          <w:iCs/>
        </w:rPr>
        <w:t xml:space="preserve"> &amp; Analgesia</w:t>
      </w:r>
      <w:r w:rsidRPr="00B045EB">
        <w:rPr>
          <w:rStyle w:val="lookup-resultcontent"/>
          <w:rFonts w:cs="Helvetica"/>
        </w:rPr>
        <w:t xml:space="preserve">, 121(6), </w:t>
      </w:r>
      <w:r>
        <w:rPr>
          <w:rStyle w:val="lookup-resultcontent"/>
          <w:rFonts w:cs="Helvetica"/>
        </w:rPr>
        <w:t>pp.</w:t>
      </w:r>
      <w:r w:rsidRPr="00B045EB">
        <w:rPr>
          <w:rStyle w:val="lookup-resultcontent"/>
          <w:rFonts w:cs="Helvetica"/>
        </w:rPr>
        <w:t>1570–1577.</w:t>
      </w:r>
      <w:r w:rsidRPr="00B045EB">
        <w:rPr>
          <w:rStyle w:val="apple-converted-space"/>
          <w:rFonts w:cs="Helvetica"/>
        </w:rPr>
        <w:t> </w:t>
      </w:r>
    </w:p>
    <w:p w:rsidR="00926633" w:rsidRPr="00B045EB" w:rsidRDefault="00926633" w:rsidP="00926633">
      <w:pPr>
        <w:ind w:left="284" w:hanging="284"/>
        <w:rPr>
          <w:rFonts w:cs="Helvetica"/>
        </w:rPr>
      </w:pPr>
      <w:r>
        <w:rPr>
          <w:rFonts w:cs="Helvetica"/>
        </w:rPr>
        <w:lastRenderedPageBreak/>
        <w:t xml:space="preserve">(2) </w:t>
      </w:r>
      <w:r w:rsidRPr="008D3C20">
        <w:rPr>
          <w:rFonts w:cs="Helvetica"/>
        </w:rPr>
        <w:t>Russ, A.L. et al (2014) ‘Applying human factors principles to alert design increases efficiency and reduces prescribing errors in a scenario-based simulation’, Journal of the American Medical Informatics Association, 21(e2), pp. e287–e296.</w:t>
      </w:r>
    </w:p>
    <w:p w:rsidR="00926633" w:rsidRDefault="00926633" w:rsidP="00926633">
      <w:pPr>
        <w:ind w:left="284" w:hanging="284"/>
      </w:pPr>
      <w:r>
        <w:t xml:space="preserve">(3) (4) </w:t>
      </w:r>
      <w:proofErr w:type="spellStart"/>
      <w:r w:rsidRPr="00B045EB">
        <w:t>Carayon</w:t>
      </w:r>
      <w:proofErr w:type="spellEnd"/>
      <w:r w:rsidRPr="00B045EB">
        <w:t>, P.</w:t>
      </w:r>
      <w:r>
        <w:t xml:space="preserve"> et al</w:t>
      </w:r>
      <w:r w:rsidRPr="00B045EB">
        <w:t xml:space="preserve"> (2013) Characterising the complexity of medication safety using a human factors approach: An observational study in two intensive care units, </w:t>
      </w:r>
      <w:r w:rsidRPr="00B045EB">
        <w:rPr>
          <w:i/>
        </w:rPr>
        <w:t>BMJ Quality &amp; Safety</w:t>
      </w:r>
      <w:r w:rsidRPr="00B045EB">
        <w:t xml:space="preserve">, 23(1), </w:t>
      </w:r>
      <w:r>
        <w:t>pp.</w:t>
      </w:r>
      <w:r w:rsidRPr="00B045EB">
        <w:t xml:space="preserve">56–65. </w:t>
      </w:r>
    </w:p>
    <w:p w:rsidR="00926633" w:rsidRPr="00B045EB" w:rsidRDefault="00926633" w:rsidP="00926633">
      <w:pPr>
        <w:ind w:left="284" w:hanging="284"/>
        <w:rPr>
          <w:rStyle w:val="lookup-resultcontent"/>
          <w:rFonts w:cs="Helvetica"/>
        </w:rPr>
      </w:pPr>
      <w:r>
        <w:rPr>
          <w:rStyle w:val="lookup-resultcontent"/>
          <w:rFonts w:cs="Helvetica"/>
        </w:rPr>
        <w:t xml:space="preserve">(3) </w:t>
      </w:r>
      <w:r w:rsidRPr="00B045EB">
        <w:rPr>
          <w:rStyle w:val="lookup-resultcontent"/>
          <w:rFonts w:cs="Helvetica"/>
        </w:rPr>
        <w:t xml:space="preserve">Brandt, J.D. (2015) Human factors </w:t>
      </w:r>
      <w:r>
        <w:rPr>
          <w:rStyle w:val="lookup-resultcontent"/>
          <w:rFonts w:cs="Helvetica"/>
        </w:rPr>
        <w:t>and ophthalmic drug packaging: t</w:t>
      </w:r>
      <w:r w:rsidRPr="00B045EB">
        <w:rPr>
          <w:rStyle w:val="lookup-resultcontent"/>
          <w:rFonts w:cs="Helvetica"/>
        </w:rPr>
        <w:t>ime for a global standard,</w:t>
      </w:r>
      <w:r>
        <w:rPr>
          <w:rStyle w:val="lookup-resultcontent"/>
          <w:rFonts w:cs="Helvetica"/>
        </w:rPr>
        <w:t xml:space="preserve"> </w:t>
      </w:r>
      <w:r w:rsidRPr="00B045EB">
        <w:rPr>
          <w:rStyle w:val="lookup-resultcontent"/>
          <w:rFonts w:cs="Helvetica"/>
          <w:i/>
          <w:iCs/>
        </w:rPr>
        <w:t>Ophthalmology</w:t>
      </w:r>
      <w:r w:rsidRPr="00B045EB">
        <w:rPr>
          <w:rStyle w:val="lookup-resultcontent"/>
          <w:rFonts w:cs="Helvetica"/>
        </w:rPr>
        <w:t xml:space="preserve">, 122(12), </w:t>
      </w:r>
      <w:r>
        <w:rPr>
          <w:rStyle w:val="lookup-resultcontent"/>
          <w:rFonts w:cs="Helvetica"/>
        </w:rPr>
        <w:t>pp.</w:t>
      </w:r>
      <w:r w:rsidRPr="00B045EB">
        <w:rPr>
          <w:rStyle w:val="lookup-resultcontent"/>
          <w:rFonts w:cs="Helvetica"/>
        </w:rPr>
        <w:t>2368–2370.</w:t>
      </w:r>
    </w:p>
    <w:p w:rsidR="00926633" w:rsidRPr="00B045EB" w:rsidRDefault="00926633" w:rsidP="00926633">
      <w:pPr>
        <w:ind w:left="284" w:hanging="284"/>
        <w:rPr>
          <w:b/>
        </w:rPr>
      </w:pPr>
      <w:r>
        <w:rPr>
          <w:rStyle w:val="lookup-resultcontent"/>
          <w:rFonts w:cs="Helvetica"/>
        </w:rPr>
        <w:t xml:space="preserve">(3) </w:t>
      </w:r>
      <w:r w:rsidRPr="00B045EB">
        <w:rPr>
          <w:rStyle w:val="lookup-resultcontent"/>
          <w:rFonts w:cs="Helvetica"/>
        </w:rPr>
        <w:t>Ch</w:t>
      </w:r>
      <w:r>
        <w:rPr>
          <w:rStyle w:val="lookup-resultcontent"/>
          <w:rFonts w:cs="Helvetica"/>
        </w:rPr>
        <w:t xml:space="preserve">ui, M.A. and Mott, D.A. (2012) </w:t>
      </w:r>
      <w:r w:rsidRPr="00B045EB">
        <w:rPr>
          <w:rStyle w:val="lookup-resultcontent"/>
          <w:rFonts w:cs="Helvetica"/>
        </w:rPr>
        <w:t>Community pharmacists’ subjective workload and perceived task perfo</w:t>
      </w:r>
      <w:r>
        <w:rPr>
          <w:rStyle w:val="lookup-resultcontent"/>
          <w:rFonts w:cs="Helvetica"/>
        </w:rPr>
        <w:t>rmance: A human factors approach</w:t>
      </w:r>
      <w:r w:rsidRPr="00B045EB">
        <w:rPr>
          <w:rStyle w:val="lookup-resultcontent"/>
          <w:rFonts w:cs="Helvetica"/>
        </w:rPr>
        <w:t>,</w:t>
      </w:r>
      <w:r w:rsidRPr="00B045EB">
        <w:rPr>
          <w:rStyle w:val="apple-converted-space"/>
          <w:rFonts w:cs="Helvetica"/>
        </w:rPr>
        <w:t> </w:t>
      </w:r>
      <w:r w:rsidRPr="00B045EB">
        <w:rPr>
          <w:rStyle w:val="lookup-resultcontent"/>
          <w:rFonts w:cs="Helvetica"/>
          <w:i/>
          <w:iCs/>
        </w:rPr>
        <w:t>Journal of the American Pharmacists Association</w:t>
      </w:r>
      <w:r w:rsidRPr="00B045EB">
        <w:rPr>
          <w:rStyle w:val="lookup-resultcontent"/>
          <w:rFonts w:cs="Helvetica"/>
        </w:rPr>
        <w:t xml:space="preserve">, 52(6), </w:t>
      </w:r>
      <w:r>
        <w:rPr>
          <w:rStyle w:val="lookup-resultcontent"/>
          <w:rFonts w:cs="Helvetica"/>
        </w:rPr>
        <w:t>pp.</w:t>
      </w:r>
      <w:r w:rsidRPr="00B045EB">
        <w:rPr>
          <w:rStyle w:val="lookup-resultcontent"/>
          <w:rFonts w:cs="Helvetica"/>
        </w:rPr>
        <w:t>e153–e160.</w:t>
      </w:r>
    </w:p>
    <w:p w:rsidR="00926633" w:rsidRDefault="00926633" w:rsidP="00926633">
      <w:pPr>
        <w:ind w:left="284" w:hanging="284"/>
      </w:pPr>
      <w:r>
        <w:t xml:space="preserve">(4) </w:t>
      </w:r>
      <w:proofErr w:type="spellStart"/>
      <w:r w:rsidRPr="006C0AE9">
        <w:t>Cafazzo</w:t>
      </w:r>
      <w:proofErr w:type="spellEnd"/>
      <w:r w:rsidRPr="006C0AE9">
        <w:t xml:space="preserve">, J. et al (2009) ‘Human factors perspectives on a systemic approach to ensuring a safer medication delivery </w:t>
      </w:r>
      <w:proofErr w:type="gramStart"/>
      <w:r w:rsidRPr="006C0AE9">
        <w:t>process’</w:t>
      </w:r>
      <w:proofErr w:type="gramEnd"/>
      <w:r w:rsidRPr="006C0AE9">
        <w:t>, Healthcare Quarterly, 12(sp), pp. 70–74.</w:t>
      </w:r>
    </w:p>
    <w:p w:rsidR="00926633" w:rsidRPr="00B045EB" w:rsidRDefault="00926633" w:rsidP="00926633">
      <w:pPr>
        <w:ind w:left="284" w:hanging="284"/>
        <w:rPr>
          <w:rStyle w:val="apple-converted-space"/>
          <w:rFonts w:cs="Helvetica"/>
        </w:rPr>
      </w:pPr>
      <w:r>
        <w:rPr>
          <w:rStyle w:val="lookup-resultcontent"/>
          <w:rFonts w:cs="Helvetica"/>
        </w:rPr>
        <w:t xml:space="preserve">(4) </w:t>
      </w:r>
      <w:r w:rsidRPr="00B045EB">
        <w:rPr>
          <w:rStyle w:val="lookup-resultcontent"/>
          <w:rFonts w:cs="Helvetica"/>
        </w:rPr>
        <w:t>Mitchell, R.J., Williamson, A. and Molesworth, B. (2015) Use of a human factors classification framework to identify causal factors for medication and medical device-related adverse clinical incidents,</w:t>
      </w:r>
      <w:r w:rsidRPr="00B045EB">
        <w:rPr>
          <w:rStyle w:val="apple-converted-space"/>
          <w:rFonts w:cs="Helvetica"/>
        </w:rPr>
        <w:t> </w:t>
      </w:r>
      <w:r w:rsidRPr="00B045EB">
        <w:rPr>
          <w:rStyle w:val="lookup-resultcontent"/>
          <w:rFonts w:cs="Helvetica"/>
          <w:i/>
          <w:iCs/>
        </w:rPr>
        <w:t>Safety Science</w:t>
      </w:r>
      <w:r w:rsidRPr="00B045EB">
        <w:rPr>
          <w:rStyle w:val="lookup-resultcontent"/>
          <w:rFonts w:cs="Helvetica"/>
        </w:rPr>
        <w:t xml:space="preserve">, 79, </w:t>
      </w:r>
      <w:r>
        <w:rPr>
          <w:rStyle w:val="lookup-resultcontent"/>
          <w:rFonts w:cs="Helvetica"/>
        </w:rPr>
        <w:t>pp.</w:t>
      </w:r>
      <w:r w:rsidRPr="00B045EB">
        <w:rPr>
          <w:rStyle w:val="lookup-resultcontent"/>
          <w:rFonts w:cs="Helvetica"/>
        </w:rPr>
        <w:t>163–174.</w:t>
      </w:r>
      <w:r w:rsidRPr="00B045EB">
        <w:rPr>
          <w:rStyle w:val="apple-converted-space"/>
          <w:rFonts w:cs="Helvetica"/>
        </w:rPr>
        <w:t> </w:t>
      </w:r>
    </w:p>
    <w:p w:rsidR="00926633" w:rsidRPr="00B045EB" w:rsidRDefault="00926633" w:rsidP="00926633">
      <w:pPr>
        <w:ind w:left="284" w:hanging="284"/>
        <w:rPr>
          <w:rStyle w:val="apple-converted-space"/>
          <w:rFonts w:cs="Helvetica"/>
        </w:rPr>
      </w:pPr>
      <w:r>
        <w:rPr>
          <w:rStyle w:val="lookup-resultcontent"/>
          <w:rFonts w:cs="Helvetica"/>
        </w:rPr>
        <w:t xml:space="preserve">(4) Ryan, C. et al (2013) </w:t>
      </w:r>
      <w:r w:rsidRPr="00B045EB">
        <w:rPr>
          <w:rStyle w:val="lookup-resultcontent"/>
          <w:rFonts w:cs="Helvetica"/>
        </w:rPr>
        <w:t>Junior doctors’ perceptions of their self-efficacy in prescribing, their prescribing errors and the possi</w:t>
      </w:r>
      <w:r>
        <w:rPr>
          <w:rStyle w:val="lookup-resultcontent"/>
          <w:rFonts w:cs="Helvetica"/>
        </w:rPr>
        <w:t>ble causes of errors</w:t>
      </w:r>
      <w:r w:rsidRPr="00B045EB">
        <w:rPr>
          <w:rStyle w:val="lookup-resultcontent"/>
          <w:rFonts w:cs="Helvetica"/>
        </w:rPr>
        <w:t>,</w:t>
      </w:r>
      <w:r w:rsidRPr="00B045EB">
        <w:rPr>
          <w:rStyle w:val="apple-converted-space"/>
          <w:rFonts w:cs="Helvetica"/>
        </w:rPr>
        <w:t> </w:t>
      </w:r>
      <w:r w:rsidRPr="00B045EB">
        <w:rPr>
          <w:rStyle w:val="lookup-resultcontent"/>
          <w:rFonts w:cs="Helvetica"/>
          <w:i/>
          <w:iCs/>
        </w:rPr>
        <w:t>British Journal of Clinical Pharmacology</w:t>
      </w:r>
      <w:r w:rsidRPr="00B045EB">
        <w:rPr>
          <w:rStyle w:val="lookup-resultcontent"/>
          <w:rFonts w:cs="Helvetica"/>
        </w:rPr>
        <w:t xml:space="preserve">, 76(6), </w:t>
      </w:r>
      <w:r>
        <w:rPr>
          <w:rStyle w:val="lookup-resultcontent"/>
          <w:rFonts w:cs="Helvetica"/>
        </w:rPr>
        <w:t>pp.</w:t>
      </w:r>
      <w:r w:rsidRPr="00B045EB">
        <w:rPr>
          <w:rStyle w:val="lookup-resultcontent"/>
          <w:rFonts w:cs="Helvetica"/>
        </w:rPr>
        <w:t>980–987.</w:t>
      </w:r>
    </w:p>
    <w:p w:rsidR="00926633" w:rsidRPr="00B045EB" w:rsidRDefault="00926633" w:rsidP="00926633">
      <w:pPr>
        <w:ind w:left="284" w:hanging="284"/>
        <w:rPr>
          <w:b/>
        </w:rPr>
      </w:pPr>
      <w:r>
        <w:rPr>
          <w:rStyle w:val="lookup-resultcontent"/>
          <w:rFonts w:cs="Helvetica"/>
        </w:rPr>
        <w:t xml:space="preserve">(4) </w:t>
      </w:r>
      <w:r w:rsidRPr="00B045EB">
        <w:rPr>
          <w:rStyle w:val="lookup-resultcontent"/>
          <w:rFonts w:cs="Helvetica"/>
        </w:rPr>
        <w:t>Werner, N.E., Nelson, E.T</w:t>
      </w:r>
      <w:r>
        <w:rPr>
          <w:rStyle w:val="lookup-resultcontent"/>
          <w:rFonts w:cs="Helvetica"/>
        </w:rPr>
        <w:t xml:space="preserve">. and Boehm-Davis, D.A. (2012) </w:t>
      </w:r>
      <w:r w:rsidRPr="00B045EB">
        <w:rPr>
          <w:rStyle w:val="lookup-resultcontent"/>
          <w:rFonts w:cs="Helvetica"/>
        </w:rPr>
        <w:t>Human factors methods to reduce medication error: Using task analysis in</w:t>
      </w:r>
      <w:r>
        <w:rPr>
          <w:rStyle w:val="lookup-resultcontent"/>
          <w:rFonts w:cs="Helvetica"/>
        </w:rPr>
        <w:t xml:space="preserve"> a pediatric and adult pharmacy</w:t>
      </w:r>
      <w:r w:rsidRPr="00B045EB">
        <w:rPr>
          <w:rStyle w:val="lookup-resultcontent"/>
          <w:rFonts w:cs="Helvetica"/>
        </w:rPr>
        <w:t>,</w:t>
      </w:r>
      <w:r w:rsidRPr="00B045EB">
        <w:rPr>
          <w:rStyle w:val="apple-converted-space"/>
          <w:rFonts w:cs="Helvetica"/>
        </w:rPr>
        <w:t> </w:t>
      </w:r>
      <w:r w:rsidRPr="00B045EB">
        <w:rPr>
          <w:rStyle w:val="lookup-resultcontent"/>
          <w:rFonts w:cs="Helvetica"/>
          <w:i/>
          <w:iCs/>
        </w:rPr>
        <w:t>Work</w:t>
      </w:r>
      <w:r w:rsidRPr="00B045EB">
        <w:rPr>
          <w:rStyle w:val="lookup-resultcontent"/>
          <w:rFonts w:cs="Helvetica"/>
        </w:rPr>
        <w:t xml:space="preserve">, 41(Supplement 1), </w:t>
      </w:r>
      <w:r>
        <w:rPr>
          <w:rStyle w:val="lookup-resultcontent"/>
          <w:rFonts w:cs="Helvetica"/>
        </w:rPr>
        <w:t>pp.</w:t>
      </w:r>
      <w:r w:rsidRPr="00B045EB">
        <w:rPr>
          <w:rStyle w:val="lookup-resultcontent"/>
          <w:rFonts w:cs="Helvetica"/>
        </w:rPr>
        <w:t>5665–5667.</w:t>
      </w:r>
      <w:r w:rsidRPr="00B045EB">
        <w:rPr>
          <w:rStyle w:val="apple-converted-space"/>
          <w:rFonts w:cs="Helvetica"/>
        </w:rPr>
        <w:t> </w:t>
      </w:r>
    </w:p>
    <w:p w:rsidR="00926633" w:rsidRPr="00310FE0" w:rsidRDefault="00926633" w:rsidP="00926633">
      <w:pPr>
        <w:ind w:left="284" w:hanging="284"/>
      </w:pPr>
      <w:r>
        <w:t>(5)</w:t>
      </w:r>
      <w:r w:rsidRPr="00B045EB">
        <w:t>*</w:t>
      </w:r>
      <w:proofErr w:type="spellStart"/>
      <w:r w:rsidRPr="00B045EB">
        <w:t>Bostock</w:t>
      </w:r>
      <w:proofErr w:type="spellEnd"/>
      <w:r w:rsidRPr="00B045EB">
        <w:t xml:space="preserve">, N. </w:t>
      </w:r>
      <w:r>
        <w:rPr>
          <w:rStyle w:val="lookup-resultcontent"/>
          <w:rFonts w:cs="Helvetica"/>
        </w:rPr>
        <w:t xml:space="preserve">et al </w:t>
      </w:r>
      <w:r>
        <w:t>(2014) I</w:t>
      </w:r>
      <w:r w:rsidRPr="00B045EB">
        <w:t>nvestigating prescribing errors, </w:t>
      </w:r>
      <w:r w:rsidRPr="00B045EB">
        <w:rPr>
          <w:i/>
          <w:iCs/>
        </w:rPr>
        <w:t>Archives of Disease in Childhood</w:t>
      </w:r>
      <w:r w:rsidRPr="00B045EB">
        <w:t>, 99(</w:t>
      </w:r>
      <w:proofErr w:type="spellStart"/>
      <w:r w:rsidRPr="00B045EB">
        <w:t>Suppl</w:t>
      </w:r>
      <w:proofErr w:type="spellEnd"/>
      <w:r w:rsidRPr="00B045EB">
        <w:t xml:space="preserve"> 1), </w:t>
      </w:r>
      <w:r>
        <w:t>pp.</w:t>
      </w:r>
      <w:r w:rsidRPr="00B045EB">
        <w:t>A97–A98.</w:t>
      </w:r>
    </w:p>
    <w:p w:rsidR="00926633" w:rsidRPr="00B045EB" w:rsidRDefault="00926633" w:rsidP="00926633">
      <w:pPr>
        <w:ind w:left="284" w:hanging="284"/>
        <w:rPr>
          <w:rStyle w:val="lookup-resultcontent"/>
          <w:rFonts w:cs="Helvetica"/>
        </w:rPr>
      </w:pPr>
      <w:r>
        <w:rPr>
          <w:rStyle w:val="lookup-resultcontent"/>
          <w:rFonts w:cs="Helvetica"/>
        </w:rPr>
        <w:t xml:space="preserve">(5) </w:t>
      </w:r>
      <w:r w:rsidRPr="00B045EB">
        <w:rPr>
          <w:rStyle w:val="lookup-resultcontent"/>
          <w:rFonts w:cs="Helvetica"/>
        </w:rPr>
        <w:t xml:space="preserve">*Brown, C. </w:t>
      </w:r>
      <w:r>
        <w:rPr>
          <w:rStyle w:val="lookup-resultcontent"/>
          <w:rFonts w:cs="Helvetica"/>
        </w:rPr>
        <w:t xml:space="preserve">et al </w:t>
      </w:r>
      <w:r w:rsidRPr="00B045EB">
        <w:rPr>
          <w:rStyle w:val="lookup-resultcontent"/>
          <w:rFonts w:cs="Helvetica"/>
        </w:rPr>
        <w:t>(2015) A narrative literature review of medication-related clinical decision support: What issues are pertinent to its future development</w:t>
      </w:r>
      <w:proofErr w:type="gramStart"/>
      <w:r w:rsidRPr="00B045EB">
        <w:rPr>
          <w:rStyle w:val="lookup-resultcontent"/>
          <w:rFonts w:cs="Helvetica"/>
        </w:rPr>
        <w:t>?,</w:t>
      </w:r>
      <w:proofErr w:type="gramEnd"/>
      <w:r w:rsidRPr="00B045EB">
        <w:rPr>
          <w:rStyle w:val="apple-converted-space"/>
          <w:rFonts w:cs="Helvetica"/>
        </w:rPr>
        <w:t> </w:t>
      </w:r>
      <w:r w:rsidRPr="00B045EB">
        <w:rPr>
          <w:rStyle w:val="lookup-resultcontent"/>
          <w:rFonts w:cs="Helvetica"/>
          <w:i/>
          <w:iCs/>
        </w:rPr>
        <w:t>International Journal of Pharmacy Practice</w:t>
      </w:r>
      <w:r w:rsidRPr="00B045EB">
        <w:rPr>
          <w:rStyle w:val="lookup-resultcontent"/>
          <w:rFonts w:cs="Helvetica"/>
        </w:rPr>
        <w:t xml:space="preserve">, 23(Supplement 2), </w:t>
      </w:r>
      <w:r>
        <w:rPr>
          <w:rStyle w:val="lookup-resultcontent"/>
          <w:rFonts w:cs="Helvetica"/>
        </w:rPr>
        <w:t>pp.</w:t>
      </w:r>
      <w:r w:rsidRPr="00B045EB">
        <w:rPr>
          <w:rStyle w:val="lookup-resultcontent"/>
          <w:rFonts w:cs="Helvetica"/>
        </w:rPr>
        <w:t>31–32.</w:t>
      </w:r>
    </w:p>
    <w:p w:rsidR="00926633" w:rsidRPr="00B045EB" w:rsidRDefault="00926633" w:rsidP="00926633">
      <w:pPr>
        <w:ind w:left="284" w:hanging="284"/>
        <w:rPr>
          <w:rStyle w:val="lookup-resultcontent"/>
          <w:rFonts w:cs="Helvetica"/>
        </w:rPr>
      </w:pPr>
      <w:r>
        <w:rPr>
          <w:rStyle w:val="lookup-resultcontent"/>
          <w:rFonts w:cs="Helvetica"/>
        </w:rPr>
        <w:t xml:space="preserve">(5) </w:t>
      </w:r>
      <w:proofErr w:type="spellStart"/>
      <w:r w:rsidRPr="00B045EB">
        <w:rPr>
          <w:rStyle w:val="lookup-resultcontent"/>
          <w:rFonts w:cs="Helvetica"/>
        </w:rPr>
        <w:t>Filik</w:t>
      </w:r>
      <w:proofErr w:type="spellEnd"/>
      <w:r w:rsidRPr="00B045EB">
        <w:rPr>
          <w:rStyle w:val="lookup-resultcontent"/>
          <w:rFonts w:cs="Helvetica"/>
        </w:rPr>
        <w:t>, R</w:t>
      </w:r>
      <w:r>
        <w:rPr>
          <w:rStyle w:val="lookup-resultcontent"/>
          <w:rFonts w:cs="Helvetica"/>
        </w:rPr>
        <w:t>. et al</w:t>
      </w:r>
      <w:r w:rsidRPr="00B045EB">
        <w:rPr>
          <w:rStyle w:val="lookup-resultcontent"/>
          <w:rFonts w:cs="Helvetica"/>
        </w:rPr>
        <w:t xml:space="preserve"> (2006) </w:t>
      </w:r>
      <w:proofErr w:type="spellStart"/>
      <w:r w:rsidRPr="00B045EB">
        <w:rPr>
          <w:rStyle w:val="lookup-resultcontent"/>
          <w:rFonts w:cs="Helvetica"/>
        </w:rPr>
        <w:t>Labeling</w:t>
      </w:r>
      <w:proofErr w:type="spellEnd"/>
      <w:r w:rsidRPr="00B045EB">
        <w:rPr>
          <w:rStyle w:val="lookup-resultcontent"/>
          <w:rFonts w:cs="Helvetica"/>
        </w:rPr>
        <w:t xml:space="preserve"> of medicines and patient safety: Evaluating methods of reducing drug name confusion,</w:t>
      </w:r>
      <w:r w:rsidRPr="00B045EB">
        <w:rPr>
          <w:rStyle w:val="apple-converted-space"/>
          <w:rFonts w:cs="Helvetica"/>
        </w:rPr>
        <w:t> </w:t>
      </w:r>
      <w:r w:rsidRPr="00B045EB">
        <w:rPr>
          <w:rStyle w:val="lookup-resultcontent"/>
          <w:rFonts w:cs="Helvetica"/>
          <w:i/>
          <w:iCs/>
        </w:rPr>
        <w:t>Human Factors: The Journal of the Human Factors and Ergonomics Society</w:t>
      </w:r>
      <w:r w:rsidRPr="00B045EB">
        <w:rPr>
          <w:rStyle w:val="lookup-resultcontent"/>
          <w:rFonts w:cs="Helvetica"/>
        </w:rPr>
        <w:t xml:space="preserve">, 48(1), </w:t>
      </w:r>
      <w:r>
        <w:rPr>
          <w:rStyle w:val="lookup-resultcontent"/>
          <w:rFonts w:cs="Helvetica"/>
        </w:rPr>
        <w:t>pp.</w:t>
      </w:r>
      <w:r w:rsidRPr="00B045EB">
        <w:rPr>
          <w:rStyle w:val="lookup-resultcontent"/>
          <w:rFonts w:cs="Helvetica"/>
        </w:rPr>
        <w:t>39–47.</w:t>
      </w:r>
    </w:p>
    <w:p w:rsidR="00926633" w:rsidRPr="00B045EB" w:rsidRDefault="00926633" w:rsidP="00926633">
      <w:pPr>
        <w:ind w:left="284" w:hanging="284"/>
      </w:pPr>
      <w:r>
        <w:t xml:space="preserve">(5) </w:t>
      </w:r>
      <w:r w:rsidRPr="00B045EB">
        <w:t>Frith, K.H. (2013) Medication error</w:t>
      </w:r>
      <w:r>
        <w:t xml:space="preserve">s in the intensive care unit: </w:t>
      </w:r>
      <w:r w:rsidRPr="00B045EB">
        <w:t>literatu</w:t>
      </w:r>
      <w:r>
        <w:t>re review using the SEIPS model</w:t>
      </w:r>
      <w:r w:rsidRPr="00B045EB">
        <w:t>,</w:t>
      </w:r>
      <w:r>
        <w:t xml:space="preserve"> </w:t>
      </w:r>
      <w:r w:rsidRPr="00B045EB">
        <w:rPr>
          <w:i/>
          <w:iCs/>
        </w:rPr>
        <w:t>AACN Advanced Critical Care</w:t>
      </w:r>
      <w:r w:rsidRPr="00B045EB">
        <w:t xml:space="preserve">, 24(4), </w:t>
      </w:r>
      <w:r>
        <w:t>pp.</w:t>
      </w:r>
      <w:r w:rsidRPr="00B045EB">
        <w:t>389–404.</w:t>
      </w:r>
    </w:p>
    <w:p w:rsidR="00310FE0" w:rsidRDefault="00310FE0">
      <w:pPr>
        <w:rPr>
          <w:b/>
        </w:rPr>
      </w:pPr>
    </w:p>
    <w:p w:rsidR="00362724" w:rsidRPr="00DB03B8" w:rsidRDefault="009A2910">
      <w:pPr>
        <w:rPr>
          <w:b/>
        </w:rPr>
      </w:pPr>
      <w:r w:rsidRPr="00DB03B8">
        <w:rPr>
          <w:b/>
        </w:rPr>
        <w:t>Problems encountered:</w:t>
      </w:r>
    </w:p>
    <w:p w:rsidR="00DB03B8" w:rsidRDefault="009A2910">
      <w:proofErr w:type="gramStart"/>
      <w:r>
        <w:t>None really.</w:t>
      </w:r>
      <w:proofErr w:type="gramEnd"/>
      <w:r>
        <w:t xml:space="preserve"> </w:t>
      </w:r>
    </w:p>
    <w:p w:rsidR="00DB03B8" w:rsidRDefault="009A2910">
      <w:r>
        <w:lastRenderedPageBreak/>
        <w:t xml:space="preserve">Had it been a real search, some may have asked the requester for further details/focussed area. </w:t>
      </w:r>
    </w:p>
    <w:p w:rsidR="00DB03B8" w:rsidRDefault="009A2910">
      <w:proofErr w:type="gramStart"/>
      <w:r>
        <w:t>Noted that Embase brought back a large number of results.</w:t>
      </w:r>
      <w:proofErr w:type="gramEnd"/>
      <w:r>
        <w:t xml:space="preserve"> </w:t>
      </w:r>
    </w:p>
    <w:p w:rsidR="00DB03B8" w:rsidRDefault="009A2910">
      <w:proofErr w:type="gramStart"/>
      <w:r>
        <w:t>Human factors was</w:t>
      </w:r>
      <w:proofErr w:type="gramEnd"/>
      <w:r>
        <w:t xml:space="preserve"> a surprising “catch all” term for a range of ideas. </w:t>
      </w:r>
    </w:p>
    <w:p w:rsidR="009A2910" w:rsidRDefault="009A2910">
      <w:r>
        <w:t>Choosing top 5 felt slightly artificial</w:t>
      </w:r>
      <w:r w:rsidR="00DA1113">
        <w:t>, although it was a good exercise in thinking about the reasons for including/excluding result</w:t>
      </w:r>
      <w:r w:rsidR="005D39B5">
        <w:t>s</w:t>
      </w:r>
      <w:r w:rsidR="00DA1113">
        <w:t>.</w:t>
      </w:r>
    </w:p>
    <w:p w:rsidR="00B3254E" w:rsidRDefault="00B3254E"/>
    <w:p w:rsidR="009A2910" w:rsidRDefault="009A2910">
      <w:pPr>
        <w:rPr>
          <w:b/>
        </w:rPr>
      </w:pPr>
      <w:r w:rsidRPr="00DB03B8">
        <w:rPr>
          <w:b/>
        </w:rPr>
        <w:t>Search tips:</w:t>
      </w:r>
    </w:p>
    <w:p w:rsidR="00DB03B8" w:rsidRPr="00DB03B8" w:rsidRDefault="00DB03B8">
      <w:r>
        <w:t>Google good for get</w:t>
      </w:r>
      <w:r w:rsidR="001C7AB0">
        <w:t>ting a basic understanding of i</w:t>
      </w:r>
      <w:r>
        <w:t>deas/terms</w:t>
      </w:r>
    </w:p>
    <w:p w:rsidR="009A2910" w:rsidRDefault="009A2910">
      <w:r>
        <w:t>Good idea to start with TRIP database – sort evidence levels quickly</w:t>
      </w:r>
      <w:r w:rsidR="00DB03B8">
        <w:t>/easily</w:t>
      </w:r>
    </w:p>
    <w:p w:rsidR="009A2910" w:rsidRDefault="009A2910">
      <w:r>
        <w:t>Cochrane results found in a number of places (TRIP, Evidence Search etc) – trials database can be useful</w:t>
      </w:r>
      <w:r w:rsidR="00DB03B8">
        <w:t>.</w:t>
      </w:r>
    </w:p>
    <w:p w:rsidR="00DB03B8" w:rsidRDefault="00E71631">
      <w:hyperlink r:id="rId11" w:history="1">
        <w:r w:rsidR="00DB03B8" w:rsidRPr="00B3254E">
          <w:rPr>
            <w:rStyle w:val="Hyperlink"/>
          </w:rPr>
          <w:t>NWSEN</w:t>
        </w:r>
      </w:hyperlink>
      <w:r w:rsidR="00DB03B8">
        <w:t xml:space="preserve"> (North West Simulation Education Network) or </w:t>
      </w:r>
      <w:hyperlink r:id="rId12" w:history="1">
        <w:r w:rsidR="00DB03B8" w:rsidRPr="00B3254E">
          <w:rPr>
            <w:rStyle w:val="Hyperlink"/>
          </w:rPr>
          <w:t>ASPIH</w:t>
        </w:r>
      </w:hyperlink>
      <w:r w:rsidR="00B3254E">
        <w:t xml:space="preserve"> </w:t>
      </w:r>
      <w:r w:rsidR="00DB03B8">
        <w:t xml:space="preserve">could </w:t>
      </w:r>
      <w:r w:rsidR="00D96D78">
        <w:t xml:space="preserve">potentially </w:t>
      </w:r>
      <w:r w:rsidR="00DB03B8">
        <w:t>be useful for human factors resources</w:t>
      </w:r>
      <w:r w:rsidR="00D96D78">
        <w:t>.</w:t>
      </w:r>
    </w:p>
    <w:p w:rsidR="00DB03B8" w:rsidRDefault="00DB03B8"/>
    <w:p w:rsidR="009F39D6" w:rsidRDefault="009F39D6">
      <w:pPr>
        <w:rPr>
          <w:b/>
        </w:rPr>
      </w:pPr>
      <w:r>
        <w:rPr>
          <w:b/>
        </w:rPr>
        <w:t>New HDAS:</w:t>
      </w:r>
    </w:p>
    <w:p w:rsidR="009F39D6" w:rsidRDefault="009F39D6">
      <w:r>
        <w:t xml:space="preserve">At the end of the FISH workshop, we did a live search on the new HDAS to try it out and familiarise ourselves with it. There are a number of things that don’t work properly at the moment, so the system should not be used for real world searches </w:t>
      </w:r>
      <w:bookmarkStart w:id="0" w:name="_GoBack"/>
      <w:bookmarkEnd w:id="0"/>
      <w:r>
        <w:t>yet. Below is the search strategy we used:</w:t>
      </w:r>
    </w:p>
    <w:p w:rsidR="009F39D6" w:rsidRPr="009F39D6" w:rsidRDefault="009F39D6">
      <w:r>
        <w:rPr>
          <w:noProof/>
          <w:lang w:eastAsia="en-GB"/>
        </w:rPr>
        <w:drawing>
          <wp:inline distT="0" distB="0" distL="0" distR="0">
            <wp:extent cx="5731510" cy="3094770"/>
            <wp:effectExtent l="19050" t="19050" r="2159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47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F39D6" w:rsidRPr="009F39D6" w:rsidSect="00E71631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4C6" w:rsidRDefault="005E74C6" w:rsidP="005D39B5">
      <w:pPr>
        <w:spacing w:after="0" w:line="240" w:lineRule="auto"/>
      </w:pPr>
      <w:r>
        <w:separator/>
      </w:r>
    </w:p>
  </w:endnote>
  <w:endnote w:type="continuationSeparator" w:id="0">
    <w:p w:rsidR="005E74C6" w:rsidRDefault="005E74C6" w:rsidP="005D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4C6" w:rsidRDefault="005E74C6" w:rsidP="005D39B5">
      <w:pPr>
        <w:spacing w:after="0" w:line="240" w:lineRule="auto"/>
      </w:pPr>
      <w:r>
        <w:separator/>
      </w:r>
    </w:p>
  </w:footnote>
  <w:footnote w:type="continuationSeparator" w:id="0">
    <w:p w:rsidR="005E74C6" w:rsidRDefault="005E74C6" w:rsidP="005D3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477648756"/>
      <w:docPartObj>
        <w:docPartGallery w:val="Page Numbers (Top of Page)"/>
        <w:docPartUnique/>
      </w:docPartObj>
    </w:sdtPr>
    <w:sdtContent>
      <w:p w:rsidR="005D39B5" w:rsidRPr="005D39B5" w:rsidRDefault="005D39B5">
        <w:pPr>
          <w:pStyle w:val="Header"/>
          <w:jc w:val="right"/>
          <w:rPr>
            <w:sz w:val="16"/>
            <w:szCs w:val="16"/>
          </w:rPr>
        </w:pPr>
        <w:r w:rsidRPr="005D39B5">
          <w:rPr>
            <w:sz w:val="16"/>
            <w:szCs w:val="16"/>
          </w:rPr>
          <w:t xml:space="preserve">Page </w:t>
        </w:r>
        <w:r w:rsidR="00E71631" w:rsidRPr="005D39B5">
          <w:rPr>
            <w:b/>
            <w:bCs/>
            <w:sz w:val="16"/>
            <w:szCs w:val="16"/>
          </w:rPr>
          <w:fldChar w:fldCharType="begin"/>
        </w:r>
        <w:r w:rsidRPr="005D39B5">
          <w:rPr>
            <w:b/>
            <w:bCs/>
            <w:sz w:val="16"/>
            <w:szCs w:val="16"/>
          </w:rPr>
          <w:instrText xml:space="preserve"> PAGE </w:instrText>
        </w:r>
        <w:r w:rsidR="00E71631" w:rsidRPr="005D39B5">
          <w:rPr>
            <w:b/>
            <w:bCs/>
            <w:sz w:val="16"/>
            <w:szCs w:val="16"/>
          </w:rPr>
          <w:fldChar w:fldCharType="separate"/>
        </w:r>
        <w:r w:rsidR="006B067F">
          <w:rPr>
            <w:b/>
            <w:bCs/>
            <w:noProof/>
            <w:sz w:val="16"/>
            <w:szCs w:val="16"/>
          </w:rPr>
          <w:t>4</w:t>
        </w:r>
        <w:r w:rsidR="00E71631" w:rsidRPr="005D39B5">
          <w:rPr>
            <w:b/>
            <w:bCs/>
            <w:sz w:val="16"/>
            <w:szCs w:val="16"/>
          </w:rPr>
          <w:fldChar w:fldCharType="end"/>
        </w:r>
        <w:r w:rsidRPr="005D39B5">
          <w:rPr>
            <w:sz w:val="16"/>
            <w:szCs w:val="16"/>
          </w:rPr>
          <w:t xml:space="preserve"> of </w:t>
        </w:r>
        <w:r w:rsidR="00E71631" w:rsidRPr="005D39B5">
          <w:rPr>
            <w:b/>
            <w:bCs/>
            <w:sz w:val="16"/>
            <w:szCs w:val="16"/>
          </w:rPr>
          <w:fldChar w:fldCharType="begin"/>
        </w:r>
        <w:r w:rsidRPr="005D39B5">
          <w:rPr>
            <w:b/>
            <w:bCs/>
            <w:sz w:val="16"/>
            <w:szCs w:val="16"/>
          </w:rPr>
          <w:instrText xml:space="preserve"> NUMPAGES  </w:instrText>
        </w:r>
        <w:r w:rsidR="00E71631" w:rsidRPr="005D39B5">
          <w:rPr>
            <w:b/>
            <w:bCs/>
            <w:sz w:val="16"/>
            <w:szCs w:val="16"/>
          </w:rPr>
          <w:fldChar w:fldCharType="separate"/>
        </w:r>
        <w:r w:rsidR="006B067F">
          <w:rPr>
            <w:b/>
            <w:bCs/>
            <w:noProof/>
            <w:sz w:val="16"/>
            <w:szCs w:val="16"/>
          </w:rPr>
          <w:t>4</w:t>
        </w:r>
        <w:r w:rsidR="00E71631" w:rsidRPr="005D39B5">
          <w:rPr>
            <w:b/>
            <w:bCs/>
            <w:sz w:val="16"/>
            <w:szCs w:val="16"/>
          </w:rPr>
          <w:fldChar w:fldCharType="end"/>
        </w:r>
      </w:p>
    </w:sdtContent>
  </w:sdt>
  <w:p w:rsidR="005D39B5" w:rsidRPr="005D39B5" w:rsidRDefault="005D39B5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B66"/>
    <w:multiLevelType w:val="hybridMultilevel"/>
    <w:tmpl w:val="00DE7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32207"/>
    <w:multiLevelType w:val="hybridMultilevel"/>
    <w:tmpl w:val="59601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724"/>
    <w:rsid w:val="00000FEE"/>
    <w:rsid w:val="001C7AB0"/>
    <w:rsid w:val="00310FE0"/>
    <w:rsid w:val="00313D4C"/>
    <w:rsid w:val="00322561"/>
    <w:rsid w:val="00362724"/>
    <w:rsid w:val="004E1DA8"/>
    <w:rsid w:val="00500BC6"/>
    <w:rsid w:val="005D39B5"/>
    <w:rsid w:val="005E23E5"/>
    <w:rsid w:val="005E72FA"/>
    <w:rsid w:val="005E74C6"/>
    <w:rsid w:val="006B067F"/>
    <w:rsid w:val="006C0AE9"/>
    <w:rsid w:val="006F1325"/>
    <w:rsid w:val="00844624"/>
    <w:rsid w:val="00877BCA"/>
    <w:rsid w:val="008D3C20"/>
    <w:rsid w:val="00926633"/>
    <w:rsid w:val="009A2910"/>
    <w:rsid w:val="009E4D86"/>
    <w:rsid w:val="009F39D6"/>
    <w:rsid w:val="00A0399E"/>
    <w:rsid w:val="00A1397D"/>
    <w:rsid w:val="00AB7CCA"/>
    <w:rsid w:val="00AC6F8A"/>
    <w:rsid w:val="00B045EB"/>
    <w:rsid w:val="00B3254E"/>
    <w:rsid w:val="00B51D0C"/>
    <w:rsid w:val="00BC04BF"/>
    <w:rsid w:val="00BF1D71"/>
    <w:rsid w:val="00C37732"/>
    <w:rsid w:val="00D96D78"/>
    <w:rsid w:val="00DA1113"/>
    <w:rsid w:val="00DB03B8"/>
    <w:rsid w:val="00E71631"/>
    <w:rsid w:val="00E73C82"/>
    <w:rsid w:val="00E7632E"/>
    <w:rsid w:val="00EE76C2"/>
    <w:rsid w:val="00F032AC"/>
    <w:rsid w:val="00F8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54E"/>
    <w:rPr>
      <w:color w:val="0000FF" w:themeColor="hyperlink"/>
      <w:u w:val="single"/>
    </w:rPr>
  </w:style>
  <w:style w:type="character" w:customStyle="1" w:styleId="lookup-resultcontent">
    <w:name w:val="lookup-result__content"/>
    <w:basedOn w:val="DefaultParagraphFont"/>
    <w:rsid w:val="00F838B0"/>
  </w:style>
  <w:style w:type="character" w:customStyle="1" w:styleId="apple-converted-space">
    <w:name w:val="apple-converted-space"/>
    <w:basedOn w:val="DefaultParagraphFont"/>
    <w:rsid w:val="00F838B0"/>
  </w:style>
  <w:style w:type="character" w:customStyle="1" w:styleId="author">
    <w:name w:val="author"/>
    <w:basedOn w:val="DefaultParagraphFont"/>
    <w:rsid w:val="00A1397D"/>
  </w:style>
  <w:style w:type="character" w:customStyle="1" w:styleId="articletitle">
    <w:name w:val="articletitle"/>
    <w:basedOn w:val="DefaultParagraphFont"/>
    <w:rsid w:val="00A1397D"/>
  </w:style>
  <w:style w:type="character" w:customStyle="1" w:styleId="othertitle">
    <w:name w:val="othertitle"/>
    <w:basedOn w:val="DefaultParagraphFont"/>
    <w:rsid w:val="00A1397D"/>
  </w:style>
  <w:style w:type="character" w:customStyle="1" w:styleId="vol">
    <w:name w:val="vol"/>
    <w:basedOn w:val="DefaultParagraphFont"/>
    <w:rsid w:val="00A1397D"/>
  </w:style>
  <w:style w:type="character" w:customStyle="1" w:styleId="citedissue">
    <w:name w:val="citedissue"/>
    <w:basedOn w:val="DefaultParagraphFont"/>
    <w:rsid w:val="00A1397D"/>
  </w:style>
  <w:style w:type="paragraph" w:styleId="Header">
    <w:name w:val="header"/>
    <w:basedOn w:val="Normal"/>
    <w:link w:val="HeaderChar"/>
    <w:uiPriority w:val="99"/>
    <w:unhideWhenUsed/>
    <w:rsid w:val="005D3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B5"/>
  </w:style>
  <w:style w:type="paragraph" w:styleId="Footer">
    <w:name w:val="footer"/>
    <w:basedOn w:val="Normal"/>
    <w:link w:val="FooterChar"/>
    <w:uiPriority w:val="99"/>
    <w:unhideWhenUsed/>
    <w:rsid w:val="005D3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B5"/>
  </w:style>
  <w:style w:type="paragraph" w:styleId="BalloonText">
    <w:name w:val="Balloon Text"/>
    <w:basedOn w:val="Normal"/>
    <w:link w:val="BalloonTextChar"/>
    <w:uiPriority w:val="99"/>
    <w:semiHidden/>
    <w:unhideWhenUsed/>
    <w:rsid w:val="009F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54E"/>
    <w:rPr>
      <w:color w:val="0000FF" w:themeColor="hyperlink"/>
      <w:u w:val="single"/>
    </w:rPr>
  </w:style>
  <w:style w:type="character" w:customStyle="1" w:styleId="lookup-resultcontent">
    <w:name w:val="lookup-result__content"/>
    <w:basedOn w:val="DefaultParagraphFont"/>
    <w:rsid w:val="00F838B0"/>
  </w:style>
  <w:style w:type="character" w:customStyle="1" w:styleId="apple-converted-space">
    <w:name w:val="apple-converted-space"/>
    <w:basedOn w:val="DefaultParagraphFont"/>
    <w:rsid w:val="00F838B0"/>
  </w:style>
  <w:style w:type="character" w:customStyle="1" w:styleId="author">
    <w:name w:val="author"/>
    <w:basedOn w:val="DefaultParagraphFont"/>
    <w:rsid w:val="00A1397D"/>
  </w:style>
  <w:style w:type="character" w:customStyle="1" w:styleId="articletitle">
    <w:name w:val="articletitle"/>
    <w:basedOn w:val="DefaultParagraphFont"/>
    <w:rsid w:val="00A1397D"/>
  </w:style>
  <w:style w:type="character" w:customStyle="1" w:styleId="othertitle">
    <w:name w:val="othertitle"/>
    <w:basedOn w:val="DefaultParagraphFont"/>
    <w:rsid w:val="00A1397D"/>
  </w:style>
  <w:style w:type="character" w:customStyle="1" w:styleId="vol">
    <w:name w:val="vol"/>
    <w:basedOn w:val="DefaultParagraphFont"/>
    <w:rsid w:val="00A1397D"/>
  </w:style>
  <w:style w:type="character" w:customStyle="1" w:styleId="citedissue">
    <w:name w:val="citedissue"/>
    <w:basedOn w:val="DefaultParagraphFont"/>
    <w:rsid w:val="00A1397D"/>
  </w:style>
  <w:style w:type="paragraph" w:styleId="Header">
    <w:name w:val="header"/>
    <w:basedOn w:val="Normal"/>
    <w:link w:val="HeaderChar"/>
    <w:uiPriority w:val="99"/>
    <w:unhideWhenUsed/>
    <w:rsid w:val="005D3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B5"/>
  </w:style>
  <w:style w:type="paragraph" w:styleId="Footer">
    <w:name w:val="footer"/>
    <w:basedOn w:val="Normal"/>
    <w:link w:val="FooterChar"/>
    <w:uiPriority w:val="99"/>
    <w:unhideWhenUsed/>
    <w:rsid w:val="005D3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B5"/>
  </w:style>
  <w:style w:type="paragraph" w:styleId="BalloonText">
    <w:name w:val="Balloon Text"/>
    <w:basedOn w:val="Normal"/>
    <w:link w:val="BalloonTextChar"/>
    <w:uiPriority w:val="99"/>
    <w:semiHidden/>
    <w:unhideWhenUsed/>
    <w:rsid w:val="009F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thackeray@lthtr.nhs.uk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pih.org.uk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thwestsimulation.org.uk/welcome/index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stitute.nhs.uk/images/documents/SaferCare/Human-Factors-How-to-Guide-v1.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.org.uk/sites/default/files/ReducingPrescribingErrors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607B-BCC6-4DAF-A67B-07B672DF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Whitcombe Jo (RW3) CMFT Manchester</dc:creator>
  <cp:lastModifiedBy>NW HCLU</cp:lastModifiedBy>
  <cp:revision>2</cp:revision>
  <dcterms:created xsi:type="dcterms:W3CDTF">2016-07-05T16:21:00Z</dcterms:created>
  <dcterms:modified xsi:type="dcterms:W3CDTF">2016-07-05T16:21:00Z</dcterms:modified>
</cp:coreProperties>
</file>